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黑体"/>
          <w:color w:val="auto"/>
          <w:sz w:val="32"/>
          <w:szCs w:val="32"/>
        </w:rPr>
      </w:pPr>
    </w:p>
    <w:p>
      <w:pPr>
        <w:jc w:val="center"/>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政协湘西自治州委员会办公室</w:t>
      </w:r>
    </w:p>
    <w:p>
      <w:pPr>
        <w:jc w:val="center"/>
        <w:rPr>
          <w:rFonts w:hint="eastAsia" w:ascii="方正小标宋_GBK" w:hAnsi="方正小标宋_GBK" w:eastAsia="方正小标宋_GBK" w:cs="方正小标宋_GBK"/>
          <w:b/>
          <w:bCs/>
          <w:color w:val="auto"/>
          <w:sz w:val="32"/>
          <w:szCs w:val="32"/>
        </w:rPr>
      </w:pPr>
      <w:r>
        <w:rPr>
          <w:rFonts w:hint="eastAsia" w:ascii="方正小标宋_GBK" w:hAnsi="方正小标宋_GBK" w:eastAsia="方正小标宋_GBK" w:cs="方正小标宋_GBK"/>
          <w:b/>
          <w:bCs/>
          <w:color w:val="auto"/>
          <w:sz w:val="44"/>
          <w:szCs w:val="44"/>
          <w:lang w:eastAsia="zh-CN"/>
        </w:rPr>
        <w:t>202</w:t>
      </w:r>
      <w:r>
        <w:rPr>
          <w:rFonts w:hint="eastAsia" w:ascii="方正小标宋_GBK" w:hAnsi="方正小标宋_GBK" w:eastAsia="方正小标宋_GBK" w:cs="方正小标宋_GBK"/>
          <w:b/>
          <w:bCs/>
          <w:color w:val="auto"/>
          <w:sz w:val="44"/>
          <w:szCs w:val="44"/>
          <w:lang w:val="en-US" w:eastAsia="zh-CN"/>
        </w:rPr>
        <w:t>2</w:t>
      </w:r>
      <w:r>
        <w:rPr>
          <w:rFonts w:hint="eastAsia" w:ascii="方正小标宋_GBK" w:hAnsi="方正小标宋_GBK" w:eastAsia="方正小标宋_GBK" w:cs="方正小标宋_GBK"/>
          <w:b/>
          <w:bCs/>
          <w:color w:val="auto"/>
          <w:sz w:val="44"/>
          <w:szCs w:val="44"/>
          <w:lang w:eastAsia="zh-CN"/>
        </w:rPr>
        <w:t>年度</w:t>
      </w:r>
      <w:r>
        <w:rPr>
          <w:rFonts w:hint="eastAsia" w:ascii="方正小标宋_GBK" w:hAnsi="方正小标宋_GBK" w:eastAsia="方正小标宋_GBK" w:cs="方正小标宋_GBK"/>
          <w:b/>
          <w:bCs/>
          <w:color w:val="auto"/>
          <w:sz w:val="44"/>
          <w:szCs w:val="44"/>
        </w:rPr>
        <w:t>部门整体支出绩效自评报告</w:t>
      </w:r>
    </w:p>
    <w:p>
      <w:pPr>
        <w:jc w:val="center"/>
        <w:rPr>
          <w:rFonts w:eastAsia="黑体"/>
          <w:color w:val="auto"/>
          <w:sz w:val="32"/>
          <w:szCs w:val="32"/>
        </w:rPr>
      </w:pPr>
    </w:p>
    <w:p>
      <w:pPr>
        <w:jc w:val="center"/>
        <w:rPr>
          <w:rFonts w:eastAsia="黑体"/>
          <w:color w:val="auto"/>
          <w:sz w:val="32"/>
          <w:szCs w:val="32"/>
        </w:rPr>
      </w:pPr>
    </w:p>
    <w:p>
      <w:pPr>
        <w:jc w:val="center"/>
        <w:rPr>
          <w:rFonts w:eastAsia="黑体"/>
          <w:color w:val="auto"/>
          <w:sz w:val="32"/>
          <w:szCs w:val="32"/>
        </w:rPr>
      </w:pPr>
    </w:p>
    <w:p>
      <w:pPr>
        <w:jc w:val="center"/>
        <w:rPr>
          <w:rFonts w:eastAsia="黑体"/>
          <w:color w:val="auto"/>
          <w:sz w:val="32"/>
          <w:szCs w:val="32"/>
        </w:rPr>
      </w:pPr>
    </w:p>
    <w:p>
      <w:pPr>
        <w:jc w:val="both"/>
        <w:rPr>
          <w:rFonts w:eastAsia="黑体"/>
          <w:color w:val="auto"/>
          <w:sz w:val="44"/>
          <w:szCs w:val="44"/>
        </w:rPr>
      </w:pPr>
    </w:p>
    <w:p>
      <w:pPr>
        <w:pStyle w:val="5"/>
        <w:rPr>
          <w:rFonts w:eastAsia="黑体"/>
          <w:color w:val="auto"/>
          <w:sz w:val="44"/>
          <w:szCs w:val="44"/>
        </w:rPr>
      </w:pPr>
    </w:p>
    <w:p>
      <w:pPr>
        <w:spacing w:line="600" w:lineRule="exact"/>
        <w:rPr>
          <w:rFonts w:eastAsia="黑体"/>
          <w:color w:val="auto"/>
          <w:sz w:val="44"/>
          <w:szCs w:val="44"/>
        </w:rPr>
      </w:pPr>
    </w:p>
    <w:p>
      <w:pPr>
        <w:spacing w:line="680" w:lineRule="exact"/>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单位名称（盖章）：</w:t>
      </w:r>
      <w:r>
        <w:rPr>
          <w:rFonts w:hint="eastAsia" w:ascii="宋体" w:hAnsi="宋体" w:eastAsia="宋体" w:cs="宋体"/>
          <w:color w:val="auto"/>
          <w:sz w:val="28"/>
          <w:szCs w:val="28"/>
          <w:u w:val="single"/>
        </w:rPr>
        <w:t xml:space="preserve">政协湘西自治州委员会办公室           </w:t>
      </w:r>
    </w:p>
    <w:p>
      <w:pPr>
        <w:spacing w:line="680" w:lineRule="exact"/>
        <w:ind w:firstLine="840" w:firstLineChars="300"/>
        <w:jc w:val="left"/>
        <w:rPr>
          <w:rFonts w:ascii="宋体" w:hAnsi="宋体" w:eastAsia="宋体" w:cs="宋体"/>
          <w:color w:val="auto"/>
          <w:sz w:val="28"/>
          <w:szCs w:val="28"/>
          <w:u w:val="single"/>
        </w:rPr>
      </w:pPr>
      <w:r>
        <w:rPr>
          <w:rFonts w:hint="eastAsia" w:ascii="宋体" w:hAnsi="宋体" w:eastAsia="宋体" w:cs="宋体"/>
          <w:color w:val="auto"/>
          <w:sz w:val="28"/>
          <w:szCs w:val="28"/>
        </w:rPr>
        <w:t>预算编码：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102001</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u w:val="single"/>
        </w:rPr>
        <w:t xml:space="preserve">                            </w:t>
      </w:r>
    </w:p>
    <w:p>
      <w:pPr>
        <w:spacing w:line="680" w:lineRule="exact"/>
        <w:ind w:firstLine="840" w:firstLineChars="300"/>
        <w:jc w:val="left"/>
        <w:rPr>
          <w:rFonts w:ascii="宋体" w:hAnsi="宋体" w:eastAsia="宋体" w:cs="宋体"/>
          <w:color w:val="auto"/>
          <w:sz w:val="28"/>
          <w:szCs w:val="28"/>
        </w:rPr>
      </w:pPr>
      <w:r>
        <w:rPr>
          <w:rFonts w:hint="eastAsia" w:ascii="宋体" w:hAnsi="宋体" w:eastAsia="宋体" w:cs="宋体"/>
          <w:color w:val="auto"/>
          <w:sz w:val="28"/>
          <w:szCs w:val="28"/>
        </w:rPr>
        <w:t>评价方式：</w:t>
      </w:r>
      <w:r>
        <w:rPr>
          <w:rFonts w:hint="eastAsia" w:ascii="宋体" w:hAnsi="宋体" w:eastAsia="宋体" w:cs="宋体"/>
          <w:color w:val="auto"/>
          <w:sz w:val="28"/>
          <w:szCs w:val="28"/>
          <w:u w:val="single"/>
        </w:rPr>
        <w:t xml:space="preserve">       单位绩效自评                        </w:t>
      </w:r>
    </w:p>
    <w:p>
      <w:pPr>
        <w:spacing w:line="680" w:lineRule="exact"/>
        <w:ind w:firstLine="840" w:firstLineChars="300"/>
        <w:jc w:val="left"/>
        <w:rPr>
          <w:rFonts w:ascii="宋体" w:hAnsi="宋体" w:eastAsia="宋体" w:cs="宋体"/>
          <w:color w:val="auto"/>
          <w:sz w:val="28"/>
          <w:szCs w:val="28"/>
        </w:rPr>
      </w:pPr>
      <w:r>
        <w:rPr>
          <w:rFonts w:hint="eastAsia" w:ascii="宋体" w:hAnsi="宋体" w:eastAsia="宋体" w:cs="宋体"/>
          <w:color w:val="auto"/>
          <w:sz w:val="28"/>
          <w:szCs w:val="28"/>
        </w:rPr>
        <w:t>评价机构：</w:t>
      </w:r>
      <w:r>
        <w:rPr>
          <w:rFonts w:hint="eastAsia" w:ascii="宋体" w:hAnsi="宋体" w:eastAsia="宋体" w:cs="宋体"/>
          <w:color w:val="auto"/>
          <w:sz w:val="28"/>
          <w:szCs w:val="28"/>
          <w:u w:val="single"/>
        </w:rPr>
        <w:t xml:space="preserve">       单位绩效自评工作小组                </w:t>
      </w:r>
    </w:p>
    <w:p>
      <w:pPr>
        <w:spacing w:line="600" w:lineRule="exact"/>
        <w:ind w:firstLine="420" w:firstLineChars="150"/>
        <w:jc w:val="left"/>
        <w:rPr>
          <w:rFonts w:ascii="宋体" w:hAnsi="宋体" w:eastAsia="宋体" w:cs="宋体"/>
          <w:color w:val="auto"/>
          <w:sz w:val="28"/>
          <w:szCs w:val="28"/>
        </w:rPr>
      </w:pPr>
    </w:p>
    <w:p>
      <w:pPr>
        <w:pStyle w:val="5"/>
        <w:rPr>
          <w:color w:val="auto"/>
        </w:rPr>
      </w:pPr>
    </w:p>
    <w:p>
      <w:pPr>
        <w:pStyle w:val="5"/>
        <w:rPr>
          <w:color w:val="auto"/>
        </w:rPr>
      </w:pPr>
    </w:p>
    <w:p>
      <w:pPr>
        <w:rPr>
          <w:rFonts w:eastAsia="仿宋_GB2312" w:cs="Arial"/>
          <w:color w:val="auto"/>
          <w:sz w:val="28"/>
          <w:szCs w:val="28"/>
        </w:rPr>
      </w:pPr>
    </w:p>
    <w:p>
      <w:pPr>
        <w:jc w:val="center"/>
        <w:rPr>
          <w:rFonts w:hint="eastAsia" w:eastAsia="仿宋_GB2312" w:cs="Arial"/>
          <w:color w:val="auto"/>
          <w:sz w:val="28"/>
          <w:szCs w:val="28"/>
        </w:rPr>
      </w:pPr>
    </w:p>
    <w:p>
      <w:pPr>
        <w:pStyle w:val="5"/>
        <w:rPr>
          <w:color w:val="auto"/>
        </w:rPr>
      </w:pPr>
    </w:p>
    <w:p>
      <w:pPr>
        <w:jc w:val="center"/>
        <w:rPr>
          <w:rFonts w:eastAsia="黑体"/>
          <w:color w:val="auto"/>
          <w:sz w:val="32"/>
          <w:szCs w:val="32"/>
        </w:rPr>
      </w:pPr>
      <w:r>
        <w:rPr>
          <w:rFonts w:hint="eastAsia" w:ascii="宋体" w:hAnsi="宋体" w:eastAsia="宋体" w:cs="宋体"/>
          <w:color w:val="auto"/>
          <w:sz w:val="28"/>
          <w:szCs w:val="28"/>
        </w:rPr>
        <w:t>报告时间：202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月</w:t>
      </w:r>
    </w:p>
    <w:tbl>
      <w:tblPr>
        <w:tblStyle w:val="9"/>
        <w:tblW w:w="9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16"/>
        <w:gridCol w:w="302"/>
        <w:gridCol w:w="45"/>
        <w:gridCol w:w="1005"/>
        <w:gridCol w:w="269"/>
        <w:gridCol w:w="1054"/>
        <w:gridCol w:w="1476"/>
        <w:gridCol w:w="1478"/>
        <w:gridCol w:w="946"/>
        <w:gridCol w:w="176"/>
        <w:gridCol w:w="532"/>
        <w:gridCol w:w="1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524" w:type="dxa"/>
            <w:gridSpan w:val="1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联系人</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FF0000"/>
                <w:sz w:val="21"/>
                <w:szCs w:val="21"/>
                <w:lang w:val="en-US" w:eastAsia="zh-CN"/>
              </w:rPr>
              <w:t>郭震寰</w:t>
            </w:r>
          </w:p>
        </w:tc>
        <w:tc>
          <w:tcPr>
            <w:tcW w:w="147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联系电话</w:t>
            </w:r>
          </w:p>
        </w:tc>
        <w:tc>
          <w:tcPr>
            <w:tcW w:w="267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0743-8711350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人员编制</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FF0000"/>
                <w:sz w:val="21"/>
                <w:szCs w:val="21"/>
                <w:lang w:val="en-US" w:eastAsia="zh-CN"/>
              </w:rPr>
            </w:pPr>
            <w:r>
              <w:rPr>
                <w:rFonts w:hint="eastAsia" w:ascii="宋体" w:hAnsi="宋体" w:cs="宋体"/>
                <w:b w:val="0"/>
                <w:bCs w:val="0"/>
                <w:color w:val="FF0000"/>
                <w:sz w:val="21"/>
                <w:szCs w:val="21"/>
                <w:lang w:val="en-US" w:eastAsia="zh-CN"/>
              </w:rPr>
              <w:t>72</w:t>
            </w:r>
          </w:p>
        </w:tc>
        <w:tc>
          <w:tcPr>
            <w:tcW w:w="147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实有人数</w:t>
            </w:r>
          </w:p>
        </w:tc>
        <w:tc>
          <w:tcPr>
            <w:tcW w:w="267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24" w:hRule="atLeast"/>
          <w:jc w:val="center"/>
        </w:trPr>
        <w:tc>
          <w:tcPr>
            <w:tcW w:w="1518" w:type="dxa"/>
            <w:gridSpan w:val="2"/>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职能职责概述</w:t>
            </w:r>
          </w:p>
        </w:tc>
        <w:tc>
          <w:tcPr>
            <w:tcW w:w="8006" w:type="dxa"/>
            <w:gridSpan w:val="11"/>
            <w:vAlign w:val="center"/>
          </w:tcPr>
          <w:p>
            <w:pPr>
              <w:keepNext w:val="0"/>
              <w:keepLines w:val="0"/>
              <w:widowControl/>
              <w:suppressLineNumbers w:val="0"/>
              <w:spacing w:before="0" w:beforeAutospacing="0" w:afterAutospacing="0"/>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成立于1952年，单位性质为行政单位，单位住所为吉首市团结西路8号，统一社会信用代码为114331000066865XN。政协湘西自治州委员会办公室为正厅级全额拨款（行政）单位。内设办公室（含秘书科、行政科、财务科、人事科、老干办</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个科室）、</w:t>
            </w:r>
            <w:r>
              <w:rPr>
                <w:rFonts w:hint="eastAsia" w:ascii="宋体" w:hAnsi="宋体" w:eastAsia="宋体" w:cs="宋体"/>
                <w:color w:val="auto"/>
                <w:sz w:val="21"/>
                <w:szCs w:val="21"/>
                <w:lang w:eastAsia="zh-CN"/>
              </w:rPr>
              <w:t>委员学习联络委员会、</w:t>
            </w:r>
            <w:r>
              <w:rPr>
                <w:rFonts w:hint="eastAsia" w:ascii="宋体" w:hAnsi="宋体" w:eastAsia="宋体" w:cs="宋体"/>
                <w:color w:val="auto"/>
                <w:sz w:val="21"/>
                <w:szCs w:val="21"/>
              </w:rPr>
              <w:t>提案委员会、经济科技联谊委员会、人口资源环境委员会、文教卫体</w:t>
            </w:r>
            <w:r>
              <w:rPr>
                <w:rFonts w:hint="eastAsia" w:ascii="宋体" w:hAnsi="宋体" w:eastAsia="宋体" w:cs="宋体"/>
                <w:color w:val="auto"/>
                <w:sz w:val="21"/>
                <w:szCs w:val="21"/>
                <w:lang w:eastAsia="zh-CN"/>
              </w:rPr>
              <w:t>和文史</w:t>
            </w:r>
            <w:r>
              <w:rPr>
                <w:rFonts w:hint="eastAsia" w:ascii="宋体" w:hAnsi="宋体" w:eastAsia="宋体" w:cs="宋体"/>
                <w:color w:val="auto"/>
                <w:sz w:val="21"/>
                <w:szCs w:val="21"/>
              </w:rPr>
              <w:t>委员会、民族宗教法制群团委员会、</w:t>
            </w:r>
            <w:r>
              <w:rPr>
                <w:rFonts w:hint="eastAsia" w:ascii="宋体" w:hAnsi="宋体" w:eastAsia="宋体" w:cs="宋体"/>
                <w:color w:val="auto"/>
                <w:sz w:val="21"/>
                <w:szCs w:val="21"/>
                <w:lang w:eastAsia="zh-CN"/>
              </w:rPr>
              <w:t>农业和农村委员会</w:t>
            </w:r>
            <w:r>
              <w:rPr>
                <w:rFonts w:hint="eastAsia" w:ascii="宋体" w:hAnsi="宋体" w:eastAsia="宋体" w:cs="宋体"/>
                <w:color w:val="auto"/>
                <w:sz w:val="21"/>
                <w:szCs w:val="21"/>
              </w:rPr>
              <w:t>、研究室、文史资料编辑部共九个职能部门。本单位的主要职责是：政治协商、民主监督、参政议政。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9" w:hRule="atLeast"/>
          <w:jc w:val="center"/>
        </w:trPr>
        <w:tc>
          <w:tcPr>
            <w:tcW w:w="1518" w:type="dxa"/>
            <w:gridSpan w:val="2"/>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年度主要</w:t>
            </w:r>
          </w:p>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工作内容</w:t>
            </w:r>
          </w:p>
        </w:tc>
        <w:tc>
          <w:tcPr>
            <w:tcW w:w="8006" w:type="dxa"/>
            <w:gridSpan w:val="11"/>
            <w:vAlign w:val="center"/>
          </w:tcPr>
          <w:p>
            <w:pPr>
              <w:keepNext w:val="0"/>
              <w:keepLines w:val="0"/>
              <w:widowControl/>
              <w:suppressLineNumbers w:val="0"/>
              <w:spacing w:before="0" w:beforeAutospacing="0" w:afterAutospacing="0"/>
              <w:ind w:left="0" w:right="0"/>
              <w:rPr>
                <w:rFonts w:hint="eastAsia" w:ascii="宋体" w:hAnsi="宋体" w:eastAsia="宋体" w:cs="宋体"/>
                <w:color w:val="FF0000"/>
                <w:sz w:val="21"/>
                <w:szCs w:val="21"/>
                <w:highlight w:val="none"/>
              </w:rPr>
            </w:pPr>
            <w:r>
              <w:rPr>
                <w:rFonts w:hint="eastAsia" w:ascii="宋体" w:hAnsi="宋体" w:eastAsia="宋体" w:cs="宋体"/>
                <w:b/>
                <w:bCs/>
                <w:color w:val="auto"/>
                <w:sz w:val="21"/>
                <w:szCs w:val="21"/>
              </w:rPr>
              <w:t>任务1：</w:t>
            </w:r>
            <w:r>
              <w:rPr>
                <w:rFonts w:hint="eastAsia" w:ascii="宋体" w:hAnsi="宋体" w:eastAsia="宋体" w:cs="宋体"/>
                <w:b/>
                <w:bCs/>
                <w:color w:val="auto"/>
                <w:sz w:val="21"/>
                <w:szCs w:val="21"/>
                <w:lang w:val="en-US" w:eastAsia="zh-CN"/>
              </w:rPr>
              <w:t>深入创建习近平总书记关于加强和改进人民政协工作的重要思想实践季度，切实加强新时代政协党建</w:t>
            </w:r>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rPr>
              <w:t>坚持党建引领，始终做到政治同向</w:t>
            </w:r>
            <w:r>
              <w:rPr>
                <w:rFonts w:hint="eastAsia" w:ascii="宋体" w:hAnsi="宋体" w:eastAsia="宋体" w:cs="宋体"/>
                <w:b w:val="0"/>
                <w:bCs w:val="0"/>
                <w:color w:val="auto"/>
                <w:sz w:val="21"/>
                <w:szCs w:val="21"/>
                <w:lang w:eastAsia="zh-CN"/>
              </w:rPr>
              <w:t>；加强理论学习，始终做到思想同心；提升能力素质，始终做到行动同步；提升能力素质，始终做到行动同步</w:t>
            </w:r>
            <w:r>
              <w:rPr>
                <w:rFonts w:hint="eastAsia" w:ascii="宋体" w:hAnsi="宋体" w:eastAsia="宋体" w:cs="宋体"/>
                <w:b w:val="0"/>
                <w:bCs w:val="0"/>
                <w:color w:val="auto"/>
                <w:sz w:val="21"/>
                <w:szCs w:val="21"/>
              </w:rPr>
              <w:t>。</w:t>
            </w:r>
          </w:p>
          <w:p>
            <w:pPr>
              <w:keepNext w:val="0"/>
              <w:keepLines w:val="0"/>
              <w:widowControl/>
              <w:suppressLineNumbers w:val="0"/>
              <w:spacing w:before="0" w:beforeAutospacing="0" w:afterAutospacing="0"/>
              <w:ind w:left="0" w:right="0"/>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rPr>
              <w:t>任务2：</w:t>
            </w:r>
            <w:r>
              <w:rPr>
                <w:rFonts w:hint="eastAsia" w:ascii="宋体" w:hAnsi="宋体" w:eastAsia="宋体" w:cs="宋体"/>
                <w:b/>
                <w:bCs/>
                <w:color w:val="auto"/>
                <w:sz w:val="21"/>
                <w:szCs w:val="21"/>
                <w:lang w:val="en-US" w:eastAsia="zh-CN"/>
              </w:rPr>
              <w:t>认真组织实施年度政治协商和监督计划切实加强新时代政协民主监督，不断加大提案工作力度</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rPr>
              <w:t>紧扣时代脉搏，强化建言资政</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促进现代化新湘西建设作为服务大局履职的首要任务</w:t>
            </w:r>
            <w:r>
              <w:rPr>
                <w:rFonts w:hint="eastAsia" w:ascii="宋体" w:hAnsi="宋体" w:eastAsia="宋体" w:cs="宋体"/>
                <w:b w:val="0"/>
                <w:bCs w:val="0"/>
                <w:color w:val="auto"/>
                <w:sz w:val="21"/>
                <w:szCs w:val="21"/>
                <w:lang w:eastAsia="zh-CN"/>
              </w:rPr>
              <w:t>。</w:t>
            </w:r>
          </w:p>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rPr>
              <w:t>任务3：</w:t>
            </w:r>
            <w:r>
              <w:rPr>
                <w:rFonts w:hint="eastAsia" w:ascii="宋体" w:hAnsi="宋体" w:eastAsia="宋体" w:cs="宋体"/>
                <w:b/>
                <w:bCs/>
                <w:color w:val="auto"/>
                <w:sz w:val="21"/>
                <w:szCs w:val="21"/>
                <w:lang w:val="en-US" w:eastAsia="zh-CN"/>
              </w:rPr>
              <w:t>围绕中心履行职能，关注群众身边热点难点问题，切实增进民生福祉</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积极投身乡村振兴</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lang w:val="en-US" w:eastAsia="zh-CN"/>
              </w:rPr>
              <w:t>全力助推脱贫攻坚与乡村振兴的有效衔接</w:t>
            </w:r>
            <w:r>
              <w:rPr>
                <w:rFonts w:hint="eastAsia" w:ascii="宋体" w:hAnsi="宋体" w:eastAsia="宋体" w:cs="宋体"/>
                <w:b w:val="0"/>
                <w:bCs w:val="0"/>
                <w:color w:val="auto"/>
                <w:sz w:val="21"/>
                <w:szCs w:val="21"/>
              </w:rPr>
              <w:t>。</w:t>
            </w:r>
          </w:p>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任务4：</w:t>
            </w:r>
            <w:r>
              <w:rPr>
                <w:rFonts w:hint="eastAsia" w:ascii="宋体" w:hAnsi="宋体" w:eastAsia="宋体" w:cs="宋体"/>
                <w:b/>
                <w:bCs/>
                <w:color w:val="auto"/>
                <w:sz w:val="21"/>
                <w:szCs w:val="21"/>
                <w:lang w:val="en-US" w:eastAsia="zh-CN"/>
              </w:rPr>
              <w:t>充分发挥民主党派作用，不断画大大湘西建设的同心圆，加强文史宣传工作；</w:t>
            </w:r>
          </w:p>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任务5：</w:t>
            </w:r>
            <w:r>
              <w:rPr>
                <w:rFonts w:hint="eastAsia" w:ascii="宋体" w:hAnsi="宋体" w:eastAsia="宋体" w:cs="宋体"/>
                <w:b/>
                <w:bCs/>
                <w:color w:val="auto"/>
                <w:sz w:val="21"/>
                <w:szCs w:val="21"/>
                <w:lang w:val="en-US" w:eastAsia="zh-CN"/>
              </w:rPr>
              <w:t>抓好委员工作室建设，发挥委员主体作用，加强政协机关建设。</w:t>
            </w:r>
          </w:p>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518" w:type="dxa"/>
            <w:gridSpan w:val="2"/>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年度部门（单位）总体运行情况及取得的成绩</w:t>
            </w:r>
          </w:p>
        </w:tc>
        <w:tc>
          <w:tcPr>
            <w:tcW w:w="8006" w:type="dxa"/>
            <w:gridSpan w:val="11"/>
            <w:vAlign w:val="center"/>
          </w:tcPr>
          <w:p>
            <w:pPr>
              <w:keepNext w:val="0"/>
              <w:keepLines w:val="0"/>
              <w:widowControl/>
              <w:suppressLineNumbers w:val="0"/>
              <w:spacing w:before="0" w:beforeAutospacing="0" w:afterAutospacing="0"/>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在州政协党组和主席会议的正确领导下，州政协办公室认真贯彻落实习近平新时代中国特色社会主义思想，围绕州政协2022年工作要点和年度协商与监督工作计划，积极履行统筹协调、参谋服务、保障运转职能，各项工作规范有序开展。</w:t>
            </w:r>
          </w:p>
          <w:p>
            <w:pPr>
              <w:keepNext w:val="0"/>
              <w:keepLines w:val="0"/>
              <w:widowControl/>
              <w:suppressLineNumbers w:val="0"/>
              <w:spacing w:before="0" w:beforeAutospacing="0" w:afterAutospacing="0"/>
              <w:ind w:left="0" w:right="0" w:firstLine="422" w:firstLineChars="200"/>
              <w:jc w:val="both"/>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1、坚持对党忠诚，政治意识进一步增强。一是</w:t>
            </w:r>
            <w:r>
              <w:rPr>
                <w:rFonts w:hint="eastAsia" w:ascii="宋体" w:hAnsi="宋体" w:eastAsia="宋体" w:cs="宋体"/>
                <w:b w:val="0"/>
                <w:bCs w:val="0"/>
                <w:color w:val="auto"/>
                <w:sz w:val="21"/>
                <w:szCs w:val="21"/>
                <w:lang w:val="en-US" w:eastAsia="zh-CN"/>
              </w:rPr>
              <w:t>认真落实党组和机关党组安排部署。认真执行决定，圆满完成了州政协党组会议和机关党组会议的组织工作，积极完成了州政协党组和机关党组交办的各项工作任务。</w:t>
            </w:r>
            <w:r>
              <w:rPr>
                <w:rFonts w:hint="eastAsia" w:ascii="宋体" w:hAnsi="宋体" w:eastAsia="宋体" w:cs="宋体"/>
                <w:b/>
                <w:bCs/>
                <w:color w:val="auto"/>
                <w:sz w:val="21"/>
                <w:szCs w:val="21"/>
                <w:lang w:val="en-US" w:eastAsia="zh-CN"/>
              </w:rPr>
              <w:t>二是</w:t>
            </w:r>
            <w:r>
              <w:rPr>
                <w:rFonts w:hint="eastAsia" w:ascii="宋体" w:hAnsi="宋体" w:eastAsia="宋体" w:cs="宋体"/>
                <w:color w:val="auto"/>
                <w:sz w:val="21"/>
                <w:szCs w:val="21"/>
                <w:lang w:val="en-US" w:eastAsia="zh-CN"/>
              </w:rPr>
              <w:t>制定《州政协机关党委2022年党建工作要点》，认真落实党建工作。认真落实组织生活制度，组织开展了“不误农时不误春 暖心助农采茶忙”志愿服务活动暨“机关联乡村  党建促振兴”、“喜迎二十大，建功新湘西”等主题党日活动，积极做好“七一”表彰、文明交通志愿者服务等活动。</w:t>
            </w:r>
            <w:r>
              <w:rPr>
                <w:rFonts w:hint="eastAsia" w:ascii="宋体" w:hAnsi="宋体" w:eastAsia="宋体" w:cs="宋体"/>
                <w:b/>
                <w:bCs/>
                <w:color w:val="auto"/>
                <w:sz w:val="21"/>
                <w:szCs w:val="21"/>
                <w:lang w:val="en-US" w:eastAsia="zh-CN"/>
              </w:rPr>
              <w:t>三是</w:t>
            </w:r>
            <w:r>
              <w:rPr>
                <w:rFonts w:hint="eastAsia" w:ascii="宋体" w:hAnsi="宋体" w:eastAsia="宋体" w:cs="宋体"/>
                <w:color w:val="auto"/>
                <w:sz w:val="21"/>
                <w:szCs w:val="21"/>
                <w:lang w:val="en-US" w:eastAsia="zh-CN"/>
              </w:rPr>
              <w:t>严格落实党风廉政建设责任。制定《州政协机关2022年党风廉政建设和反腐败工作要点》，配合完成了“清理整治违规收送红包礼金”和“清廉机关建设”调研督查工作；完成了驻村帮扶、信访案件核查、考勤督查等工作，切实加强机关党风廉政建设，积极开展清廉机关创建活动。</w:t>
            </w:r>
          </w:p>
          <w:p>
            <w:pPr>
              <w:keepNext w:val="0"/>
              <w:keepLines w:val="0"/>
              <w:widowControl/>
              <w:suppressLineNumbers w:val="0"/>
              <w:spacing w:before="0" w:beforeAutospacing="0" w:afterAutospacing="0"/>
              <w:ind w:left="0" w:right="0" w:firstLine="422" w:firstLineChars="200"/>
              <w:jc w:val="both"/>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2、坚持统筹协调，服务水平进一步提升。一是</w:t>
            </w:r>
            <w:r>
              <w:rPr>
                <w:rFonts w:hint="eastAsia" w:ascii="宋体" w:hAnsi="宋体" w:eastAsia="宋体" w:cs="宋体"/>
                <w:color w:val="auto"/>
                <w:sz w:val="21"/>
                <w:szCs w:val="21"/>
                <w:lang w:val="en-US" w:eastAsia="zh-CN"/>
              </w:rPr>
              <w:t>高效推进工作落实。根据州政协2022年工作要点和年度协商与监督工作计划，按月形成每月重要工作提示和工作小结，各项工作有序推进、按月完成；牵头做好了调查视察活动的协调服务和宣传报道工作，配合全国政协农业农村委完成了“大力发展新型农村集体经济，积极助力乡村全面振兴”视察；完成了“深入落实就业优先战略，扎实推进共同富裕”等课题调研；协助各委室完成了“ 促进文旅融合，助力打造千亿旅游产业高质量发展”“委员工作室建设运行情况”“铸牢中华民族共同体意识,以更高标准开展民族团结进步创建工作”等视察调研。今年来共承接外地政协来州考察学习活动30次，服务机关调研视察51次。</w:t>
            </w:r>
            <w:r>
              <w:rPr>
                <w:rFonts w:hint="eastAsia" w:ascii="宋体" w:hAnsi="宋体" w:eastAsia="宋体" w:cs="宋体"/>
                <w:b/>
                <w:bCs/>
                <w:color w:val="auto"/>
                <w:sz w:val="21"/>
                <w:szCs w:val="21"/>
                <w:lang w:val="en-US" w:eastAsia="zh-CN"/>
              </w:rPr>
              <w:t>二是</w:t>
            </w:r>
            <w:r>
              <w:rPr>
                <w:rFonts w:hint="eastAsia" w:ascii="宋体" w:hAnsi="宋体" w:eastAsia="宋体" w:cs="宋体"/>
                <w:color w:val="auto"/>
                <w:sz w:val="21"/>
                <w:szCs w:val="21"/>
                <w:lang w:val="en-US" w:eastAsia="zh-CN"/>
              </w:rPr>
              <w:t>协同凝聚工作合力。定期召开办公室、研究室和各专委会联席会议，主动帮助解决专委会具体的困难问题，在调研视察、后勤服务等方面给予全力支持。定期召开全州秘书长会议，配合做好省政协三级联动课题调研、州政协常委会课题调研和民主监督相关工作，开展以“打造三区两地、建设五个湘西”为主题的思想大解放活动和“潇湘新咏”委员读书活动等重点工作。</w:t>
            </w:r>
            <w:r>
              <w:rPr>
                <w:rFonts w:hint="eastAsia" w:ascii="宋体" w:hAnsi="宋体" w:eastAsia="宋体" w:cs="宋体"/>
                <w:b/>
                <w:bCs/>
                <w:color w:val="auto"/>
                <w:sz w:val="21"/>
                <w:szCs w:val="21"/>
                <w:lang w:val="en-US" w:eastAsia="zh-CN"/>
              </w:rPr>
              <w:t>三是</w:t>
            </w:r>
            <w:r>
              <w:rPr>
                <w:rFonts w:hint="eastAsia" w:ascii="宋体" w:hAnsi="宋体" w:eastAsia="宋体" w:cs="宋体"/>
                <w:color w:val="auto"/>
                <w:sz w:val="21"/>
                <w:szCs w:val="21"/>
                <w:lang w:val="en-US" w:eastAsia="zh-CN"/>
              </w:rPr>
              <w:t>加强部门工作联动。按照州委统一安排部署，制定了《州政协在职州级领导联系乡村振兴工作调度联络方案》，做好了在职州级领导联系乡村振兴工作的调度、联络、汇总、报送，同步完成了在职州级领导联系重要工作重点项目重点企业工作情况统计上报。</w:t>
            </w:r>
          </w:p>
          <w:p>
            <w:pPr>
              <w:keepNext w:val="0"/>
              <w:keepLines w:val="0"/>
              <w:widowControl/>
              <w:suppressLineNumbers w:val="0"/>
              <w:spacing w:before="0" w:beforeAutospacing="0" w:afterAutospacing="0"/>
              <w:ind w:left="0" w:right="0" w:firstLine="422" w:firstLineChars="200"/>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3.坚持规范管理，工作基础进一步夯实。一是</w:t>
            </w:r>
            <w:r>
              <w:rPr>
                <w:rFonts w:hint="eastAsia" w:ascii="宋体" w:hAnsi="宋体" w:eastAsia="宋体" w:cs="宋体"/>
                <w:color w:val="auto"/>
                <w:sz w:val="21"/>
                <w:szCs w:val="21"/>
                <w:lang w:val="en-US" w:eastAsia="zh-CN"/>
              </w:rPr>
              <w:t>抓好制度建设。结合党委、政府和相关部门的最新规定和文件精神，及时修订完善了党组会议议事规则、常委会工作规则、主席会议工作规则，党组、机关党组理论学习中心组学习、周五学习制度，公文处理办法，机关干部职工请销假、财务管理、经费管理、公务出差审批、公务车辆使用等制度；着力抓好网络保密管理和涉密人员、文件、介质、部位的管理，提高了办公室工作制度化水平。</w:t>
            </w:r>
            <w:r>
              <w:rPr>
                <w:rFonts w:hint="eastAsia" w:ascii="宋体" w:hAnsi="宋体" w:eastAsia="宋体" w:cs="宋体"/>
                <w:b/>
                <w:bCs/>
                <w:color w:val="auto"/>
                <w:sz w:val="21"/>
                <w:szCs w:val="21"/>
                <w:lang w:val="en-US" w:eastAsia="zh-CN"/>
              </w:rPr>
              <w:t>二是</w:t>
            </w:r>
            <w:r>
              <w:rPr>
                <w:rFonts w:hint="eastAsia" w:ascii="宋体" w:hAnsi="宋体" w:eastAsia="宋体" w:cs="宋体"/>
                <w:color w:val="auto"/>
                <w:sz w:val="21"/>
                <w:szCs w:val="21"/>
                <w:lang w:val="en-US" w:eastAsia="zh-CN"/>
              </w:rPr>
              <w:t>抓好业务工作。办文办会方面，共起草各类文件、纪要56个，牵头筹备了州政协十三届一次会议，做好了常委会议、主席会议以及各类协商座谈会议等40余次会议的组织服务；财务工作方面，严格执行财务制度，财务核算、报销、财务决算编制上报和公开、相关福利待遇的申报和代扣代缴等日常工作有序进行；行政后勤方面，严格执行中央、省委、州委关于中央八项规定的实施细则，做好会务、重大活动的后勤保障，扎实做好机关综合治理、环境卫生、机构节能、消防安全等各项工作，保证了安全、高效的服务；驻村工作方面，夯坨村人居环境治理、茶叶产业发展、防返贫监测、基础设施完善、慰问走访、防疫防汛等工作有序开展；信息化工作方面，主动邀请团结报、电视台、红网、湖南日报等新闻媒体参加州政协组织的各类重大会议和活动，截至目前，共发布新闻稿件900篇次。持续抓好政协云安装全覆盖，引导委员运用微建议建言献策，全州政协共提交微建议484条，已办结397条，办理中72条，列入全省微建议案例19条。</w:t>
            </w:r>
            <w:r>
              <w:rPr>
                <w:rFonts w:hint="eastAsia" w:ascii="宋体" w:hAnsi="宋体" w:eastAsia="宋体" w:cs="宋体"/>
                <w:b/>
                <w:bCs/>
                <w:color w:val="auto"/>
                <w:sz w:val="21"/>
                <w:szCs w:val="21"/>
                <w:lang w:val="en-US" w:eastAsia="zh-CN"/>
              </w:rPr>
              <w:t>三是</w:t>
            </w:r>
            <w:r>
              <w:rPr>
                <w:rFonts w:hint="eastAsia" w:ascii="宋体" w:hAnsi="宋体" w:eastAsia="宋体" w:cs="宋体"/>
                <w:color w:val="auto"/>
                <w:sz w:val="21"/>
                <w:szCs w:val="21"/>
                <w:lang w:val="en-US" w:eastAsia="zh-CN"/>
              </w:rPr>
              <w:t>抓好队伍建设。积极做好巡察整改工作的联络协调和服务工作，完成了机关党组落实巡察整改进展情况的报告等相关材料报送工作，巡察整改情况已通过审核并公开；全面完成了2021年度州政协机关五个文明建设绩效考核、干部职工年度考核和科级及以下公务员平时考核工作。按要求完成了人事档案审核清理，干部考核、任职、调训等工作；持续巩固省级文明单位创建成果，积极开展“粽叶飘香话端午 传统浸润迎六一”、“全国文明城市创建联点共建进社区”、“文明交通”、青年志愿服务、节能宣传周等系列文明创建、民族团结进步和平安建设活动，促进干部队伍素质有效提升。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524" w:type="dxa"/>
            <w:gridSpan w:val="1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524" w:type="dxa"/>
            <w:gridSpan w:val="1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63" w:type="dxa"/>
            <w:gridSpan w:val="3"/>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机构名称</w:t>
            </w:r>
          </w:p>
        </w:tc>
        <w:tc>
          <w:tcPr>
            <w:tcW w:w="1274" w:type="dxa"/>
            <w:gridSpan w:val="2"/>
            <w:vMerge w:val="restart"/>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收入合计</w:t>
            </w:r>
          </w:p>
        </w:tc>
        <w:tc>
          <w:tcPr>
            <w:tcW w:w="6687" w:type="dxa"/>
            <w:gridSpan w:val="8"/>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37" w:hRule="atLeast"/>
          <w:jc w:val="center"/>
        </w:trPr>
        <w:tc>
          <w:tcPr>
            <w:tcW w:w="1563" w:type="dxa"/>
            <w:gridSpan w:val="3"/>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274" w:type="dxa"/>
            <w:gridSpan w:val="2"/>
            <w:vMerge w:val="continue"/>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054" w:type="dxa"/>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上年结转</w:t>
            </w:r>
          </w:p>
        </w:tc>
        <w:tc>
          <w:tcPr>
            <w:tcW w:w="1476"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公共财</w:t>
            </w: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政拨款</w:t>
            </w:r>
          </w:p>
        </w:tc>
        <w:tc>
          <w:tcPr>
            <w:tcW w:w="147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政府基金拨款</w:t>
            </w:r>
          </w:p>
        </w:tc>
        <w:tc>
          <w:tcPr>
            <w:tcW w:w="946"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纳入专户管理的非税收入拨款</w:t>
            </w:r>
          </w:p>
        </w:tc>
        <w:tc>
          <w:tcPr>
            <w:tcW w:w="1733" w:type="dxa"/>
            <w:gridSpan w:val="4"/>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其他</w:t>
            </w: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563" w:type="dxa"/>
            <w:gridSpan w:val="3"/>
            <w:vAlign w:val="center"/>
          </w:tcPr>
          <w:p>
            <w:pPr>
              <w:pStyle w:val="14"/>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2993.94</w:t>
            </w:r>
          </w:p>
        </w:tc>
        <w:tc>
          <w:tcPr>
            <w:tcW w:w="1054"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53.59</w:t>
            </w:r>
          </w:p>
        </w:tc>
        <w:tc>
          <w:tcPr>
            <w:tcW w:w="1476"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2937.15</w:t>
            </w:r>
          </w:p>
        </w:tc>
        <w:tc>
          <w:tcPr>
            <w:tcW w:w="1478"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946"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1733" w:type="dxa"/>
            <w:gridSpan w:val="4"/>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5" w:hRule="atLeast"/>
          <w:jc w:val="center"/>
        </w:trPr>
        <w:tc>
          <w:tcPr>
            <w:tcW w:w="1563" w:type="dxa"/>
            <w:gridSpan w:val="3"/>
            <w:vAlign w:val="center"/>
          </w:tcPr>
          <w:p>
            <w:pPr>
              <w:pStyle w:val="14"/>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2993.94</w:t>
            </w:r>
          </w:p>
        </w:tc>
        <w:tc>
          <w:tcPr>
            <w:tcW w:w="1054"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53.59</w:t>
            </w:r>
          </w:p>
        </w:tc>
        <w:tc>
          <w:tcPr>
            <w:tcW w:w="1476"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2937.15</w:t>
            </w:r>
          </w:p>
        </w:tc>
        <w:tc>
          <w:tcPr>
            <w:tcW w:w="1478"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946"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1733" w:type="dxa"/>
            <w:gridSpan w:val="4"/>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524" w:type="dxa"/>
            <w:gridSpan w:val="1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机构名称</w:t>
            </w:r>
          </w:p>
        </w:tc>
        <w:tc>
          <w:tcPr>
            <w:tcW w:w="1274" w:type="dxa"/>
            <w:gridSpan w:val="2"/>
            <w:vMerge w:val="restart"/>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支出合计</w:t>
            </w:r>
          </w:p>
        </w:tc>
        <w:tc>
          <w:tcPr>
            <w:tcW w:w="4008" w:type="dxa"/>
            <w:gridSpan w:val="3"/>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w:t>
            </w:r>
          </w:p>
        </w:tc>
        <w:tc>
          <w:tcPr>
            <w:tcW w:w="2679" w:type="dxa"/>
            <w:gridSpan w:val="5"/>
            <w:tcBorders>
              <w:left w:val="single" w:color="auto" w:sz="4" w:space="0"/>
              <w:bottom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274" w:type="dxa"/>
            <w:gridSpan w:val="2"/>
            <w:vMerge w:val="continue"/>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054" w:type="dxa"/>
            <w:vMerge w:val="restart"/>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基本支出</w:t>
            </w:r>
          </w:p>
        </w:tc>
        <w:tc>
          <w:tcPr>
            <w:tcW w:w="2954" w:type="dxa"/>
            <w:gridSpan w:val="2"/>
            <w:tcBorders>
              <w:top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w:t>
            </w:r>
          </w:p>
        </w:tc>
        <w:tc>
          <w:tcPr>
            <w:tcW w:w="946" w:type="dxa"/>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项目支出</w:t>
            </w:r>
          </w:p>
        </w:tc>
        <w:tc>
          <w:tcPr>
            <w:tcW w:w="840" w:type="dxa"/>
            <w:gridSpan w:val="3"/>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当年结余</w:t>
            </w:r>
          </w:p>
        </w:tc>
        <w:tc>
          <w:tcPr>
            <w:tcW w:w="893" w:type="dxa"/>
            <w:vMerge w:val="restart"/>
            <w:tcBorders>
              <w:top w:val="single" w:color="auto" w:sz="4" w:space="0"/>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563" w:type="dxa"/>
            <w:gridSpan w:val="3"/>
            <w:vMerge w:val="continue"/>
            <w:vAlign w:val="center"/>
          </w:tcPr>
          <w:p>
            <w:pPr>
              <w:keepNext w:val="0"/>
              <w:keepLines w:val="0"/>
              <w:widowControl/>
              <w:suppressLineNumbers w:val="0"/>
              <w:spacing w:before="0" w:beforeAutospacing="0" w:afterAutospacing="0" w:line="320" w:lineRule="exact"/>
              <w:ind w:left="0" w:right="0"/>
              <w:jc w:val="center"/>
              <w:rPr>
                <w:rFonts w:hint="eastAsia" w:ascii="宋体" w:hAnsi="宋体" w:eastAsia="宋体" w:cs="宋体"/>
                <w:b w:val="0"/>
                <w:bCs w:val="0"/>
                <w:color w:val="auto"/>
                <w:sz w:val="21"/>
                <w:szCs w:val="21"/>
              </w:rPr>
            </w:pPr>
          </w:p>
        </w:tc>
        <w:tc>
          <w:tcPr>
            <w:tcW w:w="1274" w:type="dxa"/>
            <w:gridSpan w:val="2"/>
            <w:vMerge w:val="continue"/>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c>
          <w:tcPr>
            <w:tcW w:w="1054" w:type="dxa"/>
            <w:vMerge w:val="continue"/>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c>
          <w:tcPr>
            <w:tcW w:w="1476"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人员支出</w:t>
            </w:r>
          </w:p>
        </w:tc>
        <w:tc>
          <w:tcPr>
            <w:tcW w:w="147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公用支出</w:t>
            </w:r>
          </w:p>
        </w:tc>
        <w:tc>
          <w:tcPr>
            <w:tcW w:w="946" w:type="dxa"/>
            <w:vMerge w:val="continue"/>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c>
          <w:tcPr>
            <w:tcW w:w="840" w:type="dxa"/>
            <w:gridSpan w:val="3"/>
            <w:vMerge w:val="continue"/>
            <w:tcBorders>
              <w:left w:val="single" w:color="auto" w:sz="4" w:space="0"/>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c>
          <w:tcPr>
            <w:tcW w:w="893" w:type="dxa"/>
            <w:vMerge w:val="continue"/>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2993.94</w:t>
            </w:r>
          </w:p>
        </w:tc>
        <w:tc>
          <w:tcPr>
            <w:tcW w:w="1054"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1835.09</w:t>
            </w:r>
          </w:p>
        </w:tc>
        <w:tc>
          <w:tcPr>
            <w:tcW w:w="1476"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1627.34</w:t>
            </w:r>
          </w:p>
        </w:tc>
        <w:tc>
          <w:tcPr>
            <w:tcW w:w="1478"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207.75</w:t>
            </w:r>
          </w:p>
        </w:tc>
        <w:tc>
          <w:tcPr>
            <w:tcW w:w="946"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1158.85</w:t>
            </w:r>
          </w:p>
        </w:tc>
        <w:tc>
          <w:tcPr>
            <w:tcW w:w="840" w:type="dxa"/>
            <w:gridSpan w:val="3"/>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89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2993.94</w:t>
            </w:r>
          </w:p>
        </w:tc>
        <w:tc>
          <w:tcPr>
            <w:tcW w:w="1054"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1835.09</w:t>
            </w:r>
          </w:p>
        </w:tc>
        <w:tc>
          <w:tcPr>
            <w:tcW w:w="1476"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1627.34</w:t>
            </w:r>
          </w:p>
        </w:tc>
        <w:tc>
          <w:tcPr>
            <w:tcW w:w="1478"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207.75</w:t>
            </w:r>
          </w:p>
        </w:tc>
        <w:tc>
          <w:tcPr>
            <w:tcW w:w="946"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1158.85</w:t>
            </w:r>
          </w:p>
        </w:tc>
        <w:tc>
          <w:tcPr>
            <w:tcW w:w="840" w:type="dxa"/>
            <w:gridSpan w:val="3"/>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0</w:t>
            </w:r>
          </w:p>
        </w:tc>
        <w:tc>
          <w:tcPr>
            <w:tcW w:w="893"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机构名称</w:t>
            </w:r>
          </w:p>
        </w:tc>
        <w:tc>
          <w:tcPr>
            <w:tcW w:w="1274" w:type="dxa"/>
            <w:gridSpan w:val="2"/>
            <w:vMerge w:val="restart"/>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三公经费</w:t>
            </w: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合计</w:t>
            </w:r>
          </w:p>
        </w:tc>
        <w:tc>
          <w:tcPr>
            <w:tcW w:w="6687" w:type="dxa"/>
            <w:gridSpan w:val="8"/>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274" w:type="dxa"/>
            <w:gridSpan w:val="2"/>
            <w:vMerge w:val="continue"/>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054" w:type="dxa"/>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公务接待费</w:t>
            </w:r>
          </w:p>
        </w:tc>
        <w:tc>
          <w:tcPr>
            <w:tcW w:w="1476"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公务用车运维费</w:t>
            </w:r>
          </w:p>
        </w:tc>
        <w:tc>
          <w:tcPr>
            <w:tcW w:w="1478"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公务用车购置费</w:t>
            </w:r>
          </w:p>
        </w:tc>
        <w:tc>
          <w:tcPr>
            <w:tcW w:w="267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因公出国出境费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102.99</w:t>
            </w:r>
          </w:p>
        </w:tc>
        <w:tc>
          <w:tcPr>
            <w:tcW w:w="1054"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3.46</w:t>
            </w:r>
          </w:p>
        </w:tc>
        <w:tc>
          <w:tcPr>
            <w:tcW w:w="1476"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47.16</w:t>
            </w:r>
          </w:p>
        </w:tc>
        <w:tc>
          <w:tcPr>
            <w:tcW w:w="1478" w:type="dxa"/>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52.37</w:t>
            </w:r>
          </w:p>
        </w:tc>
        <w:tc>
          <w:tcPr>
            <w:tcW w:w="2679" w:type="dxa"/>
            <w:gridSpan w:val="5"/>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102.99</w:t>
            </w:r>
          </w:p>
        </w:tc>
        <w:tc>
          <w:tcPr>
            <w:tcW w:w="1054" w:type="dxa"/>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3.46</w:t>
            </w:r>
          </w:p>
        </w:tc>
        <w:tc>
          <w:tcPr>
            <w:tcW w:w="1476"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47.16</w:t>
            </w:r>
          </w:p>
        </w:tc>
        <w:tc>
          <w:tcPr>
            <w:tcW w:w="1478" w:type="dxa"/>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52.37</w:t>
            </w:r>
          </w:p>
        </w:tc>
        <w:tc>
          <w:tcPr>
            <w:tcW w:w="2679" w:type="dxa"/>
            <w:gridSpan w:val="5"/>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Merge w:val="restart"/>
            <w:vAlign w:val="center"/>
          </w:tcPr>
          <w:p>
            <w:pPr>
              <w:keepNext w:val="0"/>
              <w:keepLines w:val="0"/>
              <w:widowControl/>
              <w:suppressLineNumbers w:val="0"/>
              <w:spacing w:before="0" w:beforeAutospacing="0" w:afterAutospacing="0" w:line="320" w:lineRule="exac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机构名称</w:t>
            </w:r>
          </w:p>
        </w:tc>
        <w:tc>
          <w:tcPr>
            <w:tcW w:w="1274" w:type="dxa"/>
            <w:gridSpan w:val="2"/>
            <w:vMerge w:val="restart"/>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固定资产</w:t>
            </w:r>
          </w:p>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合计</w:t>
            </w:r>
          </w:p>
        </w:tc>
        <w:tc>
          <w:tcPr>
            <w:tcW w:w="5130" w:type="dxa"/>
            <w:gridSpan w:val="5"/>
            <w:tcBorders>
              <w:left w:val="single" w:color="auto" w:sz="4" w:space="0"/>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其中：</w:t>
            </w:r>
          </w:p>
        </w:tc>
        <w:tc>
          <w:tcPr>
            <w:tcW w:w="1557" w:type="dxa"/>
            <w:gridSpan w:val="3"/>
            <w:vMerge w:val="restart"/>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5" w:hRule="atLeast"/>
          <w:jc w:val="center"/>
        </w:trPr>
        <w:tc>
          <w:tcPr>
            <w:tcW w:w="1563" w:type="dxa"/>
            <w:gridSpan w:val="3"/>
            <w:vMerge w:val="continue"/>
            <w:vAlign w:val="center"/>
          </w:tcPr>
          <w:p>
            <w:pPr>
              <w:keepNext w:val="0"/>
              <w:keepLines w:val="0"/>
              <w:widowControl/>
              <w:suppressLineNumbers w:val="0"/>
              <w:spacing w:before="0" w:beforeAutospacing="0" w:afterAutospacing="0" w:line="320" w:lineRule="exact"/>
              <w:ind w:left="0" w:right="0"/>
              <w:jc w:val="center"/>
              <w:rPr>
                <w:rFonts w:hint="eastAsia" w:ascii="宋体" w:hAnsi="宋体" w:eastAsia="宋体" w:cs="宋体"/>
                <w:b w:val="0"/>
                <w:bCs w:val="0"/>
                <w:color w:val="auto"/>
                <w:sz w:val="21"/>
                <w:szCs w:val="21"/>
              </w:rPr>
            </w:pPr>
          </w:p>
        </w:tc>
        <w:tc>
          <w:tcPr>
            <w:tcW w:w="1274" w:type="dxa"/>
            <w:gridSpan w:val="2"/>
            <w:vMerge w:val="continue"/>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c>
          <w:tcPr>
            <w:tcW w:w="2530"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在用固定资产</w:t>
            </w:r>
          </w:p>
        </w:tc>
        <w:tc>
          <w:tcPr>
            <w:tcW w:w="2600" w:type="dxa"/>
            <w:gridSpan w:val="3"/>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出租固定资产</w:t>
            </w:r>
          </w:p>
        </w:tc>
        <w:tc>
          <w:tcPr>
            <w:tcW w:w="1557" w:type="dxa"/>
            <w:gridSpan w:val="3"/>
            <w:vMerge w:val="continue"/>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3"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局机关及二级机构汇总</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1006.33</w:t>
            </w:r>
          </w:p>
        </w:tc>
        <w:tc>
          <w:tcPr>
            <w:tcW w:w="2530"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1006.33</w:t>
            </w:r>
          </w:p>
        </w:tc>
        <w:tc>
          <w:tcPr>
            <w:tcW w:w="2600" w:type="dxa"/>
            <w:gridSpan w:val="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1557" w:type="dxa"/>
            <w:gridSpan w:val="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63" w:type="dxa"/>
            <w:gridSpan w:val="3"/>
            <w:vAlign w:val="center"/>
          </w:tcPr>
          <w:p>
            <w:pPr>
              <w:keepNext w:val="0"/>
              <w:keepLines w:val="0"/>
              <w:widowControl/>
              <w:suppressLineNumbers w:val="0"/>
              <w:spacing w:before="0" w:beforeAutospacing="0" w:afterAutospacing="0" w:line="320" w:lineRule="exact"/>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1、本级机构</w:t>
            </w:r>
          </w:p>
        </w:tc>
        <w:tc>
          <w:tcPr>
            <w:tcW w:w="1274" w:type="dxa"/>
            <w:gridSpan w:val="2"/>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1006.33</w:t>
            </w:r>
          </w:p>
        </w:tc>
        <w:tc>
          <w:tcPr>
            <w:tcW w:w="2530"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leftChars="0" w:right="0" w:rightChars="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1006.33</w:t>
            </w:r>
          </w:p>
        </w:tc>
        <w:tc>
          <w:tcPr>
            <w:tcW w:w="2600" w:type="dxa"/>
            <w:gridSpan w:val="3"/>
            <w:tcBorders>
              <w:righ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c>
          <w:tcPr>
            <w:tcW w:w="1557" w:type="dxa"/>
            <w:gridSpan w:val="3"/>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524" w:type="dxa"/>
            <w:gridSpan w:val="13"/>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16" w:type="dxa"/>
            <w:vMerge w:val="restart"/>
            <w:vAlign w:val="center"/>
          </w:tcPr>
          <w:p>
            <w:pPr>
              <w:keepNext w:val="0"/>
              <w:keepLines w:val="0"/>
              <w:widowControl/>
              <w:suppressLineNumbers w:val="0"/>
              <w:spacing w:before="0" w:beforeAutospacing="0" w:afterAutospacing="0"/>
              <w:ind w:left="0" w:right="0"/>
              <w:jc w:val="both"/>
              <w:rPr>
                <w:rFonts w:hint="eastAsia" w:ascii="宋体" w:hAnsi="宋体" w:eastAsia="宋体" w:cs="宋体"/>
                <w:b w:val="0"/>
                <w:bCs w:val="0"/>
                <w:color w:val="auto"/>
                <w:sz w:val="21"/>
                <w:szCs w:val="21"/>
              </w:rPr>
            </w:pPr>
          </w:p>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整体支出绩效定性目标及实施计划完成情况</w:t>
            </w:r>
          </w:p>
        </w:tc>
        <w:tc>
          <w:tcPr>
            <w:tcW w:w="4151" w:type="dxa"/>
            <w:gridSpan w:val="6"/>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预期目标</w:t>
            </w:r>
          </w:p>
        </w:tc>
        <w:tc>
          <w:tcPr>
            <w:tcW w:w="4157" w:type="dxa"/>
            <w:gridSpan w:val="6"/>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70"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p>
        </w:tc>
        <w:tc>
          <w:tcPr>
            <w:tcW w:w="4151" w:type="dxa"/>
            <w:gridSpan w:val="6"/>
            <w:tcBorders>
              <w:bottom w:val="single" w:color="auto" w:sz="4" w:space="0"/>
            </w:tcBorders>
            <w:vAlign w:val="center"/>
          </w:tcPr>
          <w:p>
            <w:pPr>
              <w:keepNext w:val="0"/>
              <w:keepLines w:val="0"/>
              <w:widowControl/>
              <w:suppressLineNumbers w:val="0"/>
              <w:spacing w:before="0" w:beforeAutospacing="0" w:afterAutospacing="0"/>
              <w:ind w:left="0" w:right="53" w:rightChars="2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目标1：深入创建习近平总书记关于加强和改进人民政协工作的重要思想实践基地。切实加强新时代政协党建。</w:t>
            </w:r>
          </w:p>
        </w:tc>
        <w:tc>
          <w:tcPr>
            <w:tcW w:w="4157" w:type="dxa"/>
            <w:gridSpan w:val="6"/>
            <w:tcBorders>
              <w:bottom w:val="single" w:color="auto" w:sz="4" w:space="0"/>
            </w:tcBorders>
            <w:vAlign w:val="center"/>
          </w:tcPr>
          <w:p>
            <w:pPr>
              <w:keepNext w:val="0"/>
              <w:keepLines w:val="0"/>
              <w:widowControl/>
              <w:suppressLineNumbers w:val="0"/>
              <w:spacing w:before="0" w:beforeAutospacing="0" w:afterAutospacing="0"/>
              <w:ind w:left="0" w:leftChars="0" w:right="0" w:firstLine="191" w:firstLineChars="91"/>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制</w:t>
            </w:r>
            <w:r>
              <w:rPr>
                <w:rFonts w:hint="eastAsia" w:ascii="宋体" w:hAnsi="宋体" w:eastAsia="宋体" w:cs="宋体"/>
                <w:b w:val="0"/>
                <w:bCs w:val="0"/>
                <w:color w:val="auto"/>
                <w:sz w:val="21"/>
                <w:szCs w:val="21"/>
              </w:rPr>
              <w:t>定《州政协机关党委2022年党建工作要点》，认真落实组织生活制度</w:t>
            </w:r>
            <w:r>
              <w:rPr>
                <w:rFonts w:hint="eastAsia" w:ascii="宋体" w:hAnsi="宋体" w:eastAsia="宋体" w:cs="宋体"/>
                <w:b w:val="0"/>
                <w:bCs w:val="0"/>
                <w:color w:val="auto"/>
                <w:sz w:val="21"/>
                <w:szCs w:val="21"/>
                <w:lang w:eastAsia="zh-CN"/>
              </w:rPr>
              <w:t>；组织开展了“不误农时不误春 暖心助农采茶忙”志愿服务活动暨“机关联乡村  党建促振兴”、“喜迎二十大，建功新湘西”等主题党日活动，积极做好“七一”表彰、文明交通志愿者服务等活动。积极开展清廉机关创建活动，切实加强机关党风廉政建设。圆满完成了州政协党组会议和机关党组会议的组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p>
        </w:tc>
        <w:tc>
          <w:tcPr>
            <w:tcW w:w="4151" w:type="dxa"/>
            <w:gridSpan w:val="6"/>
            <w:tcBorders>
              <w:bottom w:val="single" w:color="auto" w:sz="4" w:space="0"/>
            </w:tcBorders>
            <w:vAlign w:val="center"/>
          </w:tcPr>
          <w:p>
            <w:pPr>
              <w:keepNext w:val="0"/>
              <w:keepLines w:val="0"/>
              <w:widowControl/>
              <w:suppressLineNumbers w:val="0"/>
              <w:spacing w:before="0" w:beforeAutospacing="0" w:afterAutospacing="0"/>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目标2：认真组织实施年度协商</w:t>
            </w:r>
            <w:r>
              <w:rPr>
                <w:rFonts w:hint="eastAsia" w:ascii="宋体" w:hAnsi="宋体" w:eastAsia="宋体" w:cs="宋体"/>
                <w:b w:val="0"/>
                <w:bCs w:val="0"/>
                <w:color w:val="auto"/>
                <w:sz w:val="21"/>
                <w:szCs w:val="21"/>
                <w:lang w:val="en-US" w:eastAsia="zh-CN"/>
              </w:rPr>
              <w:t>和</w:t>
            </w:r>
            <w:r>
              <w:rPr>
                <w:rFonts w:hint="eastAsia" w:ascii="宋体" w:hAnsi="宋体" w:eastAsia="宋体" w:cs="宋体"/>
                <w:b w:val="0"/>
                <w:bCs w:val="0"/>
                <w:color w:val="auto"/>
                <w:sz w:val="21"/>
                <w:szCs w:val="21"/>
              </w:rPr>
              <w:t>监督计划。切实加强新时代政协民主监督。不断加大提案工作力度。</w:t>
            </w:r>
          </w:p>
        </w:tc>
        <w:tc>
          <w:tcPr>
            <w:tcW w:w="4157" w:type="dxa"/>
            <w:gridSpan w:val="6"/>
            <w:tcBorders>
              <w:bottom w:val="single" w:color="auto" w:sz="4" w:space="0"/>
            </w:tcBorders>
            <w:vAlign w:val="center"/>
          </w:tcPr>
          <w:p>
            <w:pPr>
              <w:keepNext w:val="0"/>
              <w:keepLines w:val="0"/>
              <w:widowControl/>
              <w:suppressLineNumbers w:val="0"/>
              <w:spacing w:before="0" w:beforeAutospacing="0" w:afterAutospacing="0"/>
              <w:ind w:left="0" w:right="0" w:firstLine="210" w:firstLineChars="1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根据州政协2022年工作要点和年度协商与监督工作计划</w:t>
            </w:r>
            <w:r>
              <w:rPr>
                <w:rFonts w:hint="eastAsia" w:ascii="宋体" w:hAnsi="宋体" w:eastAsia="宋体" w:cs="宋体"/>
                <w:b w:val="0"/>
                <w:bCs w:val="0"/>
                <w:color w:val="auto"/>
                <w:sz w:val="21"/>
                <w:szCs w:val="21"/>
                <w:lang w:eastAsia="zh-CN"/>
              </w:rPr>
              <w:t>，按月形成每月重要工作提示和工作小结；牵头做好了调查视察活动的协调服务和宣传报道工作，配合全国政协农业农村委完成了“大力发展新型农村集体经济，积极助力乡村全面振兴”视察；协助省政协召开了片区政协工作座谈会，完成了“深入落实就业优先战略，扎实推进共同富裕”等课题调研；共承接外地政协来州考察学习活动30次，服务机关调研视察51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2"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p>
        </w:tc>
        <w:tc>
          <w:tcPr>
            <w:tcW w:w="4151"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目标3：围绕中心履行职能。关注群众身边事切实增进民生福祉。全力助推脱贫攻坚与乡村振兴有效衔接。</w:t>
            </w:r>
          </w:p>
        </w:tc>
        <w:tc>
          <w:tcPr>
            <w:tcW w:w="4157"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right="0"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制定了《州政协在职州级领导联系乡村振兴工作调度联络方案》，做好了在职州级领导联系乡村振兴工作的调度、联络、汇总、报送，同步完成了在职州级领导联系重要工作重点项目重点企业工作情况统计上报。驻村工作方面，夯坨村人居环境治理、茶叶产业发展、防返贫监测、基础设施完善、慰问走访、防疫防汛等工作有序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7"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p>
        </w:tc>
        <w:tc>
          <w:tcPr>
            <w:tcW w:w="4151"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目标4：充分发挥民主党派作用。不断画大湘西建设的同心圆。加强文史宣传工作。 </w:t>
            </w:r>
          </w:p>
        </w:tc>
        <w:tc>
          <w:tcPr>
            <w:tcW w:w="4157"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主动邀请团结报、电视台、红网、湖南日报等新闻媒体参加州政协组织的各类重大会议和活动，截至目前，共发布新闻稿件</w:t>
            </w:r>
            <w:r>
              <w:rPr>
                <w:rFonts w:hint="eastAsia" w:ascii="宋体" w:hAnsi="宋体" w:eastAsia="宋体" w:cs="宋体"/>
                <w:color w:val="auto"/>
                <w:sz w:val="21"/>
                <w:szCs w:val="21"/>
                <w:lang w:val="en-US" w:eastAsia="zh-CN"/>
              </w:rPr>
              <w:t>900篇次。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3" w:hRule="atLeast"/>
          <w:jc w:val="center"/>
        </w:trPr>
        <w:tc>
          <w:tcPr>
            <w:tcW w:w="1216" w:type="dxa"/>
            <w:vMerge w:val="continue"/>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p>
        </w:tc>
        <w:tc>
          <w:tcPr>
            <w:tcW w:w="4151"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目标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：抓好委员工作室建设。发挥委员主体作用。加强政协机关建设。</w:t>
            </w:r>
          </w:p>
        </w:tc>
        <w:tc>
          <w:tcPr>
            <w:tcW w:w="4157" w:type="dxa"/>
            <w:gridSpan w:val="6"/>
            <w:tcBorders>
              <w:top w:val="single" w:color="auto" w:sz="4" w:space="0"/>
              <w:bottom w:val="single" w:color="auto" w:sz="4" w:space="0"/>
            </w:tcBorders>
            <w:vAlign w:val="center"/>
          </w:tcPr>
          <w:p>
            <w:pPr>
              <w:keepNext w:val="0"/>
              <w:keepLines w:val="0"/>
              <w:widowControl/>
              <w:suppressLineNumbers w:val="0"/>
              <w:spacing w:before="0" w:beforeAutospacing="0" w:afterAutospacing="0"/>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各委室完成了“ 促进文旅融合，助力打造千亿旅游产业高质量发展”“委员工作室建设运行情况”“铸牢中华民族共同体意识,以更高标准开展民族团结进步创建工作”等视察调研。全面完成了2021年度州政协机关五个文明建设绩效考核、干部职工年度考核和科级及以下公务员平时考核工作。持续巩固省级文明单位创建成果，积极开展“粽叶飘香话端午 传统浸润迎六一”、“全国文明城市创建联点共建进社区”、“文明交通”、青年志愿服务、节能宣传周等系列文明创建、民族团结进步和平安建设活动，促进干部队伍素质有效提升。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16" w:type="dxa"/>
            <w:vMerge w:val="restart"/>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整体支出</w:t>
            </w:r>
          </w:p>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绩效定量目标及实施计划完成情况</w:t>
            </w:r>
          </w:p>
        </w:tc>
        <w:tc>
          <w:tcPr>
            <w:tcW w:w="4151" w:type="dxa"/>
            <w:gridSpan w:val="6"/>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评价内容</w:t>
            </w:r>
          </w:p>
        </w:tc>
        <w:tc>
          <w:tcPr>
            <w:tcW w:w="1478" w:type="dxa"/>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绩效目标</w:t>
            </w:r>
          </w:p>
        </w:tc>
        <w:tc>
          <w:tcPr>
            <w:tcW w:w="267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restart"/>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产出目标</w:t>
            </w:r>
          </w:p>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p>
        </w:tc>
        <w:tc>
          <w:tcPr>
            <w:tcW w:w="1323" w:type="dxa"/>
            <w:gridSpan w:val="2"/>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数量、质量、时效、成本指标</w:t>
            </w: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指标1：重点工作完成率</w:t>
            </w:r>
          </w:p>
        </w:tc>
        <w:tc>
          <w:tcPr>
            <w:tcW w:w="1478"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100%</w:t>
            </w:r>
          </w:p>
        </w:tc>
        <w:tc>
          <w:tcPr>
            <w:tcW w:w="2679"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5"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b w:val="0"/>
                <w:bCs w:val="0"/>
                <w:color w:val="FF0000"/>
                <w:sz w:val="21"/>
                <w:szCs w:val="21"/>
              </w:rPr>
            </w:pPr>
          </w:p>
        </w:tc>
        <w:tc>
          <w:tcPr>
            <w:tcW w:w="1323"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指标2：预算完成率</w:t>
            </w:r>
          </w:p>
        </w:tc>
        <w:tc>
          <w:tcPr>
            <w:tcW w:w="1478"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w:t>
            </w:r>
          </w:p>
        </w:tc>
        <w:tc>
          <w:tcPr>
            <w:tcW w:w="2679"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99</w:t>
            </w:r>
            <w:r>
              <w:rPr>
                <w:rFonts w:hint="eastAsia" w:ascii="宋体" w:hAnsi="宋体" w:eastAsia="宋体" w:cs="宋体"/>
                <w:b w:val="0"/>
                <w:bCs w:val="0"/>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b w:val="0"/>
                <w:bCs w:val="0"/>
                <w:color w:val="FF0000"/>
                <w:sz w:val="21"/>
                <w:szCs w:val="21"/>
              </w:rPr>
            </w:pPr>
          </w:p>
        </w:tc>
        <w:tc>
          <w:tcPr>
            <w:tcW w:w="1323"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指标3：政府采购执行率</w:t>
            </w:r>
          </w:p>
        </w:tc>
        <w:tc>
          <w:tcPr>
            <w:tcW w:w="1478"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100%</w:t>
            </w:r>
          </w:p>
        </w:tc>
        <w:tc>
          <w:tcPr>
            <w:tcW w:w="2679"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yellow"/>
                <w:lang w:val="en-US" w:eastAsia="zh-CN"/>
              </w:rPr>
              <w:t>487</w:t>
            </w:r>
            <w:r>
              <w:rPr>
                <w:rFonts w:hint="eastAsia" w:ascii="宋体" w:hAnsi="宋体" w:eastAsia="宋体" w:cs="宋体"/>
                <w:b w:val="0"/>
                <w:bCs w:val="0"/>
                <w:color w:val="auto"/>
                <w:sz w:val="21"/>
                <w:szCs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3"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b w:val="0"/>
                <w:bCs w:val="0"/>
                <w:color w:val="FF0000"/>
                <w:sz w:val="21"/>
                <w:szCs w:val="21"/>
              </w:rPr>
            </w:pPr>
          </w:p>
        </w:tc>
        <w:tc>
          <w:tcPr>
            <w:tcW w:w="1323"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指标4：“三公经费”控制率</w:t>
            </w:r>
          </w:p>
        </w:tc>
        <w:tc>
          <w:tcPr>
            <w:tcW w:w="1478"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100%</w:t>
            </w:r>
          </w:p>
        </w:tc>
        <w:tc>
          <w:tcPr>
            <w:tcW w:w="2679"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FF0000"/>
                <w:sz w:val="21"/>
                <w:szCs w:val="21"/>
                <w:highlight w:val="yellow"/>
              </w:rPr>
            </w:pPr>
            <w:r>
              <w:rPr>
                <w:rFonts w:hint="eastAsia" w:ascii="宋体" w:hAnsi="宋体" w:eastAsia="宋体" w:cs="宋体"/>
                <w:b w:val="0"/>
                <w:bCs w:val="0"/>
                <w:color w:val="auto"/>
                <w:sz w:val="21"/>
                <w:szCs w:val="21"/>
                <w:highlight w:val="yellow"/>
                <w:lang w:val="en-US" w:eastAsia="zh-CN"/>
              </w:rPr>
              <w:t>110</w:t>
            </w:r>
            <w:r>
              <w:rPr>
                <w:rFonts w:hint="eastAsia" w:ascii="宋体" w:hAnsi="宋体" w:eastAsia="宋体" w:cs="宋体"/>
                <w:b w:val="0"/>
                <w:bCs w:val="0"/>
                <w:color w:val="auto"/>
                <w:sz w:val="21"/>
                <w:szCs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5"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b w:val="0"/>
                <w:bCs w:val="0"/>
                <w:color w:val="FF0000"/>
                <w:sz w:val="21"/>
                <w:szCs w:val="21"/>
              </w:rPr>
            </w:pPr>
          </w:p>
        </w:tc>
        <w:tc>
          <w:tcPr>
            <w:tcW w:w="1323" w:type="dxa"/>
            <w:gridSpan w:val="2"/>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FF0000"/>
                <w:sz w:val="21"/>
                <w:szCs w:val="21"/>
              </w:rPr>
            </w:pP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指标</w:t>
            </w:r>
            <w:r>
              <w:rPr>
                <w:rFonts w:hint="eastAsia" w:ascii="宋体" w:hAnsi="宋体" w:eastAsia="宋体" w:cs="宋体"/>
                <w:b w:val="0"/>
                <w:bCs w:val="0"/>
                <w:color w:val="auto"/>
                <w:sz w:val="21"/>
                <w:szCs w:val="21"/>
                <w:lang w:val="en-US"/>
              </w:rPr>
              <w:t>5</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固定资产利用率</w:t>
            </w:r>
          </w:p>
        </w:tc>
        <w:tc>
          <w:tcPr>
            <w:tcW w:w="1478" w:type="dxa"/>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100%</w:t>
            </w:r>
          </w:p>
        </w:tc>
        <w:tc>
          <w:tcPr>
            <w:tcW w:w="2679"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40"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restart"/>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效益目标</w:t>
            </w:r>
          </w:p>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（预期实现的效益）</w:t>
            </w:r>
          </w:p>
        </w:tc>
        <w:tc>
          <w:tcPr>
            <w:tcW w:w="1323"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社会效益</w:t>
            </w: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发挥政协智囊团的作用，向州委、州政府建言献策，为领导决策提供可靠、及时、有效的依据。切实解决我州各项建设和群众日常生活中存在的困难。</w:t>
            </w:r>
          </w:p>
        </w:tc>
        <w:tc>
          <w:tcPr>
            <w:tcW w:w="1478" w:type="dxa"/>
            <w:tcBorders>
              <w:left w:val="single" w:color="auto" w:sz="4" w:space="0"/>
              <w:right w:val="single" w:color="auto" w:sz="4" w:space="0"/>
            </w:tcBorders>
            <w:vAlign w:val="center"/>
          </w:tcPr>
          <w:p>
            <w:pPr>
              <w:keepNext w:val="0"/>
              <w:keepLines w:val="0"/>
              <w:widowControl/>
              <w:suppressLineNumbers w:val="0"/>
              <w:spacing w:before="0" w:beforeAutospacing="0" w:afterAutospacing="0"/>
              <w:ind w:right="0"/>
              <w:jc w:val="center"/>
              <w:rPr>
                <w:rFonts w:hint="eastAsia" w:ascii="宋体" w:hAnsi="宋体" w:eastAsia="宋体" w:cs="宋体"/>
                <w:b/>
                <w:color w:val="auto"/>
                <w:sz w:val="21"/>
                <w:szCs w:val="21"/>
              </w:rPr>
            </w:pPr>
            <w:r>
              <w:rPr>
                <w:rFonts w:hint="eastAsia" w:ascii="宋体" w:hAnsi="宋体" w:eastAsia="宋体" w:cs="宋体"/>
                <w:b w:val="0"/>
                <w:bCs/>
                <w:color w:val="auto"/>
                <w:sz w:val="21"/>
                <w:szCs w:val="21"/>
                <w:lang w:val="en-US" w:eastAsia="zh-CN"/>
              </w:rPr>
              <w:t>达到预期</w:t>
            </w:r>
          </w:p>
        </w:tc>
        <w:tc>
          <w:tcPr>
            <w:tcW w:w="2679" w:type="dxa"/>
            <w:gridSpan w:val="5"/>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2"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bookmarkStart w:id="0" w:name="_Hlk41169370"/>
          </w:p>
        </w:tc>
        <w:tc>
          <w:tcPr>
            <w:tcW w:w="1352" w:type="dxa"/>
            <w:gridSpan w:val="3"/>
            <w:vMerge w:val="continue"/>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p>
        </w:tc>
        <w:tc>
          <w:tcPr>
            <w:tcW w:w="1323"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经济效益</w:t>
            </w:r>
          </w:p>
        </w:tc>
        <w:tc>
          <w:tcPr>
            <w:tcW w:w="1476" w:type="dxa"/>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发挥政协联系面广，委员界别多的自身优势，为我州经济建设积极提供及时、有效信息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为我州经济腾飞注入活力。</w:t>
            </w:r>
          </w:p>
        </w:tc>
        <w:tc>
          <w:tcPr>
            <w:tcW w:w="1478" w:type="dxa"/>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14" w:leftChars="0" w:right="0" w:hanging="14" w:hangingChars="7"/>
              <w:jc w:val="center"/>
              <w:rPr>
                <w:rFonts w:hint="eastAsia" w:ascii="宋体" w:hAnsi="宋体" w:eastAsia="宋体" w:cs="宋体"/>
                <w:b/>
                <w:color w:val="auto"/>
                <w:sz w:val="21"/>
                <w:szCs w:val="21"/>
                <w:lang w:val="en-US" w:eastAsia="zh-CN"/>
              </w:rPr>
            </w:pPr>
            <w:r>
              <w:rPr>
                <w:rFonts w:hint="eastAsia" w:ascii="宋体" w:hAnsi="宋体" w:eastAsia="宋体" w:cs="宋体"/>
                <w:b w:val="0"/>
                <w:bCs/>
                <w:color w:val="auto"/>
                <w:sz w:val="21"/>
                <w:szCs w:val="21"/>
                <w:lang w:val="en-US" w:eastAsia="zh-CN"/>
              </w:rPr>
              <w:t>达到预期</w:t>
            </w:r>
          </w:p>
        </w:tc>
        <w:tc>
          <w:tcPr>
            <w:tcW w:w="2679" w:type="dxa"/>
            <w:gridSpan w:val="5"/>
            <w:tcBorders>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已完成</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58"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23" w:type="dxa"/>
            <w:gridSpan w:val="2"/>
            <w:vMerge w:val="restart"/>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社会公众或服务对象满意度</w:t>
            </w:r>
          </w:p>
        </w:tc>
        <w:tc>
          <w:tcPr>
            <w:tcW w:w="1476" w:type="dxa"/>
            <w:tcBorders>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指标1：服务对象满意度</w:t>
            </w:r>
          </w:p>
        </w:tc>
        <w:tc>
          <w:tcPr>
            <w:tcW w:w="1478"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95%</w:t>
            </w:r>
          </w:p>
        </w:tc>
        <w:tc>
          <w:tcPr>
            <w:tcW w:w="2679" w:type="dxa"/>
            <w:gridSpan w:val="5"/>
            <w:tcBorders>
              <w:left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5"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23" w:type="dxa"/>
            <w:gridSpan w:val="2"/>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476"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指标2：社会群众满意度</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95%</w:t>
            </w:r>
          </w:p>
        </w:tc>
        <w:tc>
          <w:tcPr>
            <w:tcW w:w="2679" w:type="dxa"/>
            <w:gridSpan w:val="5"/>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2" w:hRule="atLeast"/>
          <w:jc w:val="center"/>
        </w:trPr>
        <w:tc>
          <w:tcPr>
            <w:tcW w:w="1216" w:type="dxa"/>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52" w:type="dxa"/>
            <w:gridSpan w:val="3"/>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323" w:type="dxa"/>
            <w:gridSpan w:val="2"/>
            <w:vMerge w:val="continue"/>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sz w:val="21"/>
                <w:szCs w:val="21"/>
              </w:rPr>
            </w:pPr>
          </w:p>
        </w:tc>
        <w:tc>
          <w:tcPr>
            <w:tcW w:w="1476"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指标3：部门内部满意度</w:t>
            </w:r>
          </w:p>
        </w:tc>
        <w:tc>
          <w:tcPr>
            <w:tcW w:w="1478"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95%</w:t>
            </w:r>
          </w:p>
        </w:tc>
        <w:tc>
          <w:tcPr>
            <w:tcW w:w="2679" w:type="dxa"/>
            <w:gridSpan w:val="5"/>
            <w:tcBorders>
              <w:top w:val="single" w:color="auto" w:sz="4" w:space="0"/>
              <w:lef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568" w:type="dxa"/>
            <w:gridSpan w:val="4"/>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绩效自评综合得分及评价等次</w:t>
            </w:r>
          </w:p>
        </w:tc>
        <w:tc>
          <w:tcPr>
            <w:tcW w:w="6956" w:type="dxa"/>
            <w:gridSpan w:val="9"/>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评分：94.93       等次：</w:t>
            </w:r>
            <w:r>
              <w:rPr>
                <w:rFonts w:hint="eastAsia" w:ascii="宋体" w:hAnsi="宋体" w:eastAsia="宋体" w:cs="宋体"/>
                <w:color w:val="auto"/>
                <w:sz w:val="21"/>
                <w:szCs w:val="21"/>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568" w:type="dxa"/>
            <w:gridSpan w:val="4"/>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p>
        </w:tc>
        <w:tc>
          <w:tcPr>
            <w:tcW w:w="6956" w:type="dxa"/>
            <w:gridSpan w:val="9"/>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90（含）—100分为优；80（含）—90分为良； 60（含）—80 分为较差；60分以下为差。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524" w:type="dxa"/>
            <w:gridSpan w:val="13"/>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职务/职称</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单  位</w:t>
            </w:r>
          </w:p>
        </w:tc>
        <w:tc>
          <w:tcPr>
            <w:tcW w:w="1025"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宋清宏</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sz w:val="21"/>
                <w:szCs w:val="21"/>
                <w:lang w:eastAsia="zh-CN"/>
              </w:rPr>
            </w:pPr>
            <w:r>
              <w:rPr>
                <w:rFonts w:hint="eastAsia" w:ascii="宋体" w:hAnsi="宋体" w:cs="宋体"/>
                <w:color w:val="FF0000"/>
                <w:sz w:val="21"/>
                <w:szCs w:val="21"/>
                <w:lang w:eastAsia="zh-CN"/>
              </w:rPr>
              <w:t>州政协常务副主席</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何湘永</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州政协秘书长</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向学智</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州政协民族宗教法制群团委主任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杜修炎</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州政协提案委主任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贺显明</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州政协人口资源环境委主任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彭  俊</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州政协</w:t>
            </w:r>
            <w:r>
              <w:rPr>
                <w:rFonts w:hint="eastAsia" w:ascii="宋体" w:hAnsi="宋体" w:eastAsia="宋体" w:cs="宋体"/>
                <w:color w:val="FF0000"/>
                <w:sz w:val="21"/>
                <w:szCs w:val="21"/>
                <w:lang w:val="en-US" w:eastAsia="zh-CN"/>
              </w:rPr>
              <w:t>农业和农村委员会主任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罗  虹</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州政协</w:t>
            </w:r>
            <w:r>
              <w:rPr>
                <w:rFonts w:hint="eastAsia" w:ascii="宋体" w:hAnsi="宋体" w:eastAsia="宋体" w:cs="宋体"/>
                <w:color w:val="FF0000"/>
                <w:sz w:val="21"/>
                <w:szCs w:val="21"/>
                <w:lang w:val="en-US" w:eastAsia="zh-CN"/>
              </w:rPr>
              <w:t>经济科技</w:t>
            </w:r>
            <w:r>
              <w:rPr>
                <w:rFonts w:hint="eastAsia" w:ascii="宋体" w:hAnsi="宋体" w:eastAsia="宋体" w:cs="宋体"/>
                <w:color w:val="FF0000"/>
                <w:sz w:val="21"/>
                <w:szCs w:val="21"/>
              </w:rPr>
              <w:t>委主任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龙延平</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州政协文教和文史</w:t>
            </w:r>
            <w:r>
              <w:rPr>
                <w:rFonts w:hint="eastAsia" w:ascii="宋体" w:hAnsi="宋体" w:eastAsia="宋体" w:cs="宋体"/>
                <w:color w:val="FF0000"/>
                <w:sz w:val="21"/>
                <w:szCs w:val="21"/>
              </w:rPr>
              <w:t>委主任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李运辉</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lang w:val="en-US" w:eastAsia="zh-CN"/>
              </w:rPr>
              <w:t>州政协委员联络学习</w:t>
            </w:r>
            <w:r>
              <w:rPr>
                <w:rFonts w:hint="eastAsia" w:ascii="宋体" w:hAnsi="宋体" w:eastAsia="宋体" w:cs="宋体"/>
                <w:color w:val="FF0000"/>
                <w:sz w:val="21"/>
                <w:szCs w:val="21"/>
              </w:rPr>
              <w:t>委主任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谭必松</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州政协副秘书长</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龙英芹</w:t>
            </w:r>
          </w:p>
        </w:tc>
        <w:tc>
          <w:tcPr>
            <w:tcW w:w="3849" w:type="dxa"/>
            <w:gridSpan w:val="5"/>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sz w:val="21"/>
                <w:szCs w:val="21"/>
                <w:lang w:eastAsia="zh-CN"/>
              </w:rPr>
            </w:pPr>
            <w:r>
              <w:rPr>
                <w:rFonts w:hint="eastAsia" w:ascii="宋体" w:hAnsi="宋体" w:cs="宋体"/>
                <w:color w:val="FF0000"/>
                <w:sz w:val="21"/>
                <w:szCs w:val="21"/>
                <w:lang w:eastAsia="zh-CN"/>
              </w:rPr>
              <w:t>州政协副秘书长</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孙  伟</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 w:val="21"/>
                <w:szCs w:val="21"/>
              </w:rPr>
              <w:t>州政协办公室</w:t>
            </w:r>
            <w:r>
              <w:rPr>
                <w:rFonts w:hint="eastAsia" w:ascii="宋体" w:hAnsi="宋体" w:cs="宋体"/>
                <w:color w:val="FF0000"/>
                <w:sz w:val="21"/>
                <w:szCs w:val="21"/>
                <w:lang w:eastAsia="zh-CN"/>
              </w:rPr>
              <w:t>副主任</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518" w:type="dxa"/>
            <w:gridSpan w:val="2"/>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郭震寰</w:t>
            </w:r>
          </w:p>
        </w:tc>
        <w:tc>
          <w:tcPr>
            <w:tcW w:w="3849" w:type="dxa"/>
            <w:gridSpan w:val="5"/>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州政协办公室财务科科长</w:t>
            </w:r>
          </w:p>
        </w:tc>
        <w:tc>
          <w:tcPr>
            <w:tcW w:w="3132" w:type="dxa"/>
            <w:gridSpan w:val="4"/>
            <w:tcBorders>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政协湘西自治州委员会办公室</w:t>
            </w:r>
          </w:p>
        </w:tc>
        <w:tc>
          <w:tcPr>
            <w:tcW w:w="1025" w:type="dxa"/>
            <w:gridSpan w:val="2"/>
            <w:tcBorders>
              <w:left w:val="single" w:color="auto" w:sz="4" w:space="0"/>
            </w:tcBorders>
            <w:vAlign w:val="center"/>
          </w:tcPr>
          <w:p>
            <w:pPr>
              <w:keepNext w:val="0"/>
              <w:keepLines w:val="0"/>
              <w:widowControl/>
              <w:suppressLineNumbers w:val="0"/>
              <w:autoSpaceDN w:val="0"/>
              <w:spacing w:before="0" w:beforeAutospacing="0" w:afterAutospacing="0" w:line="320" w:lineRule="exact"/>
              <w:ind w:left="0" w:right="0"/>
              <w:jc w:val="center"/>
              <w:textAlignment w:val="center"/>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32" w:hRule="atLeast"/>
          <w:jc w:val="center"/>
        </w:trPr>
        <w:tc>
          <w:tcPr>
            <w:tcW w:w="9524" w:type="dxa"/>
            <w:gridSpan w:val="13"/>
            <w:vAlign w:val="center"/>
          </w:tcPr>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评价组组长签署意见：</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firstLine="4620" w:firstLineChars="22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评价组组长（签字）：</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leftChars="0" w:right="0" w:right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524" w:type="dxa"/>
            <w:gridSpan w:val="13"/>
            <w:vAlign w:val="center"/>
          </w:tcPr>
          <w:p>
            <w:pPr>
              <w:keepNext w:val="0"/>
              <w:keepLines w:val="0"/>
              <w:widowControl/>
              <w:suppressLineNumbers w:val="0"/>
              <w:autoSpaceDN w:val="0"/>
              <w:spacing w:before="0" w:beforeAutospacing="0" w:after="0" w:afterAutospacing="0" w:line="320" w:lineRule="exact"/>
              <w:ind w:left="0" w:right="0" w:firstLine="210" w:firstLineChars="10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部门（单位）意见：</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部门（单位）负责人（签字）：               部门（单位）（盖章）：</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p>
          <w:p>
            <w:pPr>
              <w:keepNext w:val="0"/>
              <w:keepLines w:val="0"/>
              <w:widowControl/>
              <w:suppressLineNumbers w:val="0"/>
              <w:autoSpaceDN w:val="0"/>
              <w:spacing w:before="0" w:beforeAutospacing="0" w:after="0" w:afterAutospacing="0" w:line="320" w:lineRule="exact"/>
              <w:ind w:left="0" w:leftChars="0" w:right="0" w:right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00" w:hRule="atLeast"/>
          <w:jc w:val="center"/>
        </w:trPr>
        <w:tc>
          <w:tcPr>
            <w:tcW w:w="9524" w:type="dxa"/>
            <w:gridSpan w:val="13"/>
            <w:vAlign w:val="center"/>
          </w:tcPr>
          <w:p>
            <w:pPr>
              <w:keepNext w:val="0"/>
              <w:keepLines w:val="0"/>
              <w:widowControl/>
              <w:suppressLineNumbers w:val="0"/>
              <w:spacing w:before="0" w:beforeAutospacing="0" w:after="0" w:afterAutospacing="0" w:line="320" w:lineRule="exact"/>
              <w:ind w:left="0" w:right="0" w:firstLine="210" w:firstLineChars="100"/>
              <w:rPr>
                <w:rFonts w:hint="eastAsia" w:ascii="宋体" w:hAnsi="宋体" w:eastAsia="宋体" w:cs="宋体"/>
                <w:color w:val="auto"/>
                <w:sz w:val="21"/>
                <w:szCs w:val="21"/>
              </w:rPr>
            </w:pPr>
          </w:p>
          <w:p>
            <w:pPr>
              <w:keepNext w:val="0"/>
              <w:keepLines w:val="0"/>
              <w:widowControl/>
              <w:suppressLineNumbers w:val="0"/>
              <w:spacing w:before="0" w:beforeAutospacing="0" w:after="0" w:afterAutospacing="0" w:line="320" w:lineRule="exact"/>
              <w:ind w:left="0" w:right="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财政部门归口业务科室意见：</w:t>
            </w:r>
          </w:p>
          <w:p>
            <w:pPr>
              <w:keepNext w:val="0"/>
              <w:keepLines w:val="0"/>
              <w:widowControl/>
              <w:suppressLineNumbers w:val="0"/>
              <w:spacing w:before="0" w:beforeAutospacing="0" w:after="0" w:afterAutospacing="0" w:line="320" w:lineRule="exact"/>
              <w:ind w:left="0" w:right="0"/>
              <w:rPr>
                <w:rFonts w:hint="eastAsia" w:ascii="宋体" w:hAnsi="宋体" w:eastAsia="宋体" w:cs="宋体"/>
                <w:color w:val="auto"/>
                <w:sz w:val="21"/>
                <w:szCs w:val="21"/>
              </w:rPr>
            </w:pPr>
          </w:p>
          <w:p>
            <w:pPr>
              <w:keepNext w:val="0"/>
              <w:keepLines w:val="0"/>
              <w:widowControl/>
              <w:suppressLineNumbers w:val="0"/>
              <w:spacing w:before="0" w:beforeAutospacing="0" w:after="0" w:afterAutospacing="0" w:line="320" w:lineRule="exact"/>
              <w:ind w:left="0" w:right="0"/>
              <w:rPr>
                <w:rFonts w:hint="eastAsia" w:ascii="宋体" w:hAnsi="宋体" w:eastAsia="宋体" w:cs="宋体"/>
                <w:color w:val="auto"/>
                <w:sz w:val="21"/>
                <w:szCs w:val="21"/>
              </w:rPr>
            </w:pPr>
          </w:p>
          <w:p>
            <w:pPr>
              <w:keepNext w:val="0"/>
              <w:keepLines w:val="0"/>
              <w:widowControl/>
              <w:suppressLineNumbers w:val="0"/>
              <w:spacing w:before="0" w:beforeAutospacing="0" w:after="0" w:afterAutospacing="0" w:line="320" w:lineRule="exact"/>
              <w:ind w:left="0" w:right="0"/>
              <w:rPr>
                <w:rFonts w:hint="eastAsia" w:ascii="宋体" w:hAnsi="宋体" w:eastAsia="宋体" w:cs="宋体"/>
                <w:color w:val="auto"/>
                <w:sz w:val="21"/>
                <w:szCs w:val="21"/>
              </w:rPr>
            </w:pPr>
          </w:p>
          <w:p>
            <w:pPr>
              <w:keepNext w:val="0"/>
              <w:keepLines w:val="0"/>
              <w:widowControl/>
              <w:suppressLineNumbers w:val="0"/>
              <w:spacing w:before="0" w:beforeAutospacing="0" w:after="0" w:afterAutospacing="0" w:line="320" w:lineRule="exact"/>
              <w:ind w:left="0" w:right="0"/>
              <w:rPr>
                <w:rFonts w:hint="eastAsia" w:ascii="宋体" w:hAnsi="宋体" w:eastAsia="宋体" w:cs="宋体"/>
                <w:color w:val="auto"/>
                <w:sz w:val="21"/>
                <w:szCs w:val="21"/>
              </w:rPr>
            </w:pPr>
          </w:p>
          <w:p>
            <w:pPr>
              <w:keepNext w:val="0"/>
              <w:keepLines w:val="0"/>
              <w:widowControl/>
              <w:suppressLineNumbers w:val="0"/>
              <w:spacing w:before="0" w:beforeAutospacing="0" w:after="0" w:afterAutospacing="0" w:line="32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xml:space="preserve">  财政部门归口业务科室负责人（签字）：       财政部门归口业务科室（盖章）：</w:t>
            </w:r>
          </w:p>
          <w:p>
            <w:pPr>
              <w:keepNext w:val="0"/>
              <w:keepLines w:val="0"/>
              <w:widowControl/>
              <w:suppressLineNumbers w:val="0"/>
              <w:autoSpaceDN w:val="0"/>
              <w:spacing w:before="0" w:beforeAutospacing="0" w:after="0" w:afterAutospacing="0" w:line="320" w:lineRule="exact"/>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widowControl/>
              <w:suppressLineNumbers w:val="0"/>
              <w:autoSpaceDN w:val="0"/>
              <w:spacing w:before="0" w:beforeAutospacing="0" w:after="0" w:afterAutospacing="0" w:line="320" w:lineRule="exact"/>
              <w:ind w:left="0" w:leftChars="0" w:right="0" w:rightChars="0" w:firstLine="6510" w:firstLineChars="3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bl>
    <w:p>
      <w:pPr>
        <w:spacing w:before="143" w:line="218" w:lineRule="auto"/>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before="143" w:line="218" w:lineRule="auto"/>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before="143" w:line="218" w:lineRule="auto"/>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before="143" w:line="218" w:lineRule="auto"/>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jc w:val="both"/>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p>
    <w:p>
      <w:pPr>
        <w:jc w:val="center"/>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政协湘西自治州委员会办公室</w:t>
      </w:r>
    </w:p>
    <w:p>
      <w:pPr>
        <w:jc w:val="center"/>
        <w:rPr>
          <w:rFonts w:hint="eastAsia" w:ascii="宋体" w:hAnsi="宋体" w:cs="宋体"/>
          <w:spacing w:val="-2"/>
          <w:sz w:val="44"/>
          <w:szCs w:val="44"/>
          <w:lang w:val="en-US" w:eastAsia="zh-CN"/>
          <w14:textOutline w14:w="7988" w14:cap="flat" w14:cmpd="sng">
            <w14:solidFill>
              <w14:srgbClr w14:val="000000"/>
            </w14:solidFill>
            <w14:prstDash w14:val="solid"/>
            <w14:miter w14:val="0"/>
          </w14:textOutline>
        </w:rPr>
      </w:pPr>
      <w:r>
        <w:rPr>
          <w:rFonts w:hint="eastAsia" w:ascii="方正小标宋_GBK" w:hAnsi="方正小标宋_GBK" w:eastAsia="方正小标宋_GBK" w:cs="方正小标宋_GBK"/>
          <w:b/>
          <w:bCs/>
          <w:color w:val="auto"/>
          <w:sz w:val="32"/>
          <w:szCs w:val="32"/>
          <w:lang w:val="en-US" w:eastAsia="zh-CN"/>
        </w:rPr>
        <w:t>2022年度部门整体支出绩效评价报告</w:t>
      </w:r>
    </w:p>
    <w:p>
      <w:pPr>
        <w:pStyle w:val="15"/>
        <w:keepNext w:val="0"/>
        <w:keepLines w:val="0"/>
        <w:pageBreakBefore w:val="0"/>
        <w:widowControl/>
        <w:kinsoku/>
        <w:wordWrap/>
        <w:overflowPunct/>
        <w:topLinePunct w:val="0"/>
        <w:autoSpaceDE/>
        <w:autoSpaceDN/>
        <w:bidi w:val="0"/>
        <w:adjustRightInd/>
        <w:snapToGrid/>
        <w:spacing w:before="368" w:beforeLines="100" w:after="183" w:afterLines="50" w:line="540" w:lineRule="exact"/>
        <w:ind w:left="0" w:leftChars="0" w:firstLine="784" w:firstLineChars="279"/>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一、基本情况</w:t>
      </w:r>
    </w:p>
    <w:p>
      <w:pPr>
        <w:pStyle w:val="15"/>
        <w:widowControl/>
        <w:spacing w:before="183" w:beforeLines="50" w:after="183" w:afterLines="50" w:line="5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w:t>
      </w:r>
      <w:bookmarkStart w:id="1" w:name="_Hlk40300346"/>
      <w:r>
        <w:rPr>
          <w:rFonts w:hint="eastAsia" w:ascii="宋体" w:hAnsi="宋体" w:eastAsia="宋体" w:cs="宋体"/>
          <w:color w:val="auto"/>
          <w:sz w:val="28"/>
          <w:szCs w:val="28"/>
        </w:rPr>
        <w:t>单位基本情况</w:t>
      </w:r>
      <w:bookmarkEnd w:id="1"/>
    </w:p>
    <w:p>
      <w:pPr>
        <w:pStyle w:val="15"/>
        <w:spacing w:before="183" w:beforeLines="50" w:after="183" w:afterLines="50" w:line="540" w:lineRule="exact"/>
        <w:ind w:firstLine="600"/>
        <w:rPr>
          <w:rFonts w:hint="eastAsia" w:ascii="宋体" w:hAnsi="宋体" w:eastAsia="宋体" w:cs="宋体"/>
          <w:color w:val="auto"/>
          <w:sz w:val="28"/>
          <w:szCs w:val="28"/>
          <w:lang w:val="en-US" w:eastAsia="zh-CN"/>
        </w:rPr>
      </w:pPr>
      <w:bookmarkStart w:id="2" w:name="_Toc2195"/>
      <w:r>
        <w:rPr>
          <w:rFonts w:hint="eastAsia" w:ascii="宋体" w:hAnsi="宋体" w:eastAsia="宋体" w:cs="宋体"/>
          <w:color w:val="auto"/>
          <w:sz w:val="28"/>
          <w:szCs w:val="28"/>
        </w:rPr>
        <w:t>政协湘西自治州委员会办公室为正厅级全额拨款（行政）单位。内设办公室（含秘书科、行政科、财务科、人事科、老干</w:t>
      </w:r>
      <w:r>
        <w:rPr>
          <w:rFonts w:hint="eastAsia" w:ascii="宋体" w:hAnsi="宋体" w:cs="宋体"/>
          <w:color w:val="auto"/>
          <w:sz w:val="28"/>
          <w:szCs w:val="28"/>
          <w:lang w:eastAsia="zh-CN"/>
        </w:rPr>
        <w:t>科五</w:t>
      </w:r>
      <w:r>
        <w:rPr>
          <w:rFonts w:hint="eastAsia" w:ascii="宋体" w:hAnsi="宋体" w:eastAsia="宋体" w:cs="宋体"/>
          <w:color w:val="auto"/>
          <w:sz w:val="28"/>
          <w:szCs w:val="28"/>
        </w:rPr>
        <w:t>个科室）、</w:t>
      </w:r>
      <w:r>
        <w:rPr>
          <w:rFonts w:hint="eastAsia" w:ascii="宋体" w:hAnsi="宋体" w:cs="宋体"/>
          <w:color w:val="auto"/>
          <w:sz w:val="28"/>
          <w:szCs w:val="28"/>
          <w:lang w:eastAsia="zh-CN"/>
        </w:rPr>
        <w:t>委员联络委、</w:t>
      </w:r>
      <w:r>
        <w:rPr>
          <w:rFonts w:hint="eastAsia" w:ascii="宋体" w:hAnsi="宋体" w:eastAsia="宋体" w:cs="宋体"/>
          <w:color w:val="auto"/>
          <w:sz w:val="28"/>
          <w:szCs w:val="28"/>
        </w:rPr>
        <w:t>提案委员会、经济科技联谊委员会、人口资源环境委员会、文教卫体委员会、民族宗教法制群团委员会、文史学习委员会、研究室、文史资料编辑部</w:t>
      </w:r>
      <w:r>
        <w:rPr>
          <w:rFonts w:hint="eastAsia" w:ascii="宋体" w:hAnsi="宋体" w:cs="宋体"/>
          <w:color w:val="auto"/>
          <w:sz w:val="28"/>
          <w:szCs w:val="28"/>
          <w:lang w:eastAsia="zh-CN"/>
        </w:rPr>
        <w:t>、信息中心</w:t>
      </w:r>
      <w:r>
        <w:rPr>
          <w:rFonts w:hint="eastAsia" w:ascii="宋体" w:hAnsi="宋体" w:eastAsia="宋体" w:cs="宋体"/>
          <w:color w:val="auto"/>
          <w:sz w:val="28"/>
          <w:szCs w:val="28"/>
        </w:rPr>
        <w:t>共</w:t>
      </w:r>
      <w:r>
        <w:rPr>
          <w:rFonts w:hint="eastAsia" w:ascii="宋体" w:hAnsi="宋体" w:cs="宋体"/>
          <w:color w:val="auto"/>
          <w:sz w:val="28"/>
          <w:szCs w:val="28"/>
          <w:lang w:eastAsia="zh-CN"/>
        </w:rPr>
        <w:t>十一</w:t>
      </w:r>
      <w:r>
        <w:rPr>
          <w:rFonts w:hint="eastAsia" w:ascii="宋体" w:hAnsi="宋体" w:eastAsia="宋体" w:cs="宋体"/>
          <w:color w:val="auto"/>
          <w:sz w:val="28"/>
          <w:szCs w:val="28"/>
        </w:rPr>
        <w:t>个职能部门。部门</w:t>
      </w:r>
      <w:r>
        <w:rPr>
          <w:rFonts w:hint="eastAsia" w:ascii="宋体" w:hAnsi="宋体" w:eastAsia="宋体" w:cs="宋体"/>
          <w:color w:val="auto"/>
          <w:sz w:val="28"/>
          <w:szCs w:val="28"/>
          <w:lang w:val="en-US" w:eastAsia="zh-CN"/>
        </w:rPr>
        <w:t>主要</w:t>
      </w:r>
      <w:r>
        <w:rPr>
          <w:rFonts w:hint="eastAsia" w:ascii="宋体" w:hAnsi="宋体" w:eastAsia="宋体" w:cs="宋体"/>
          <w:color w:val="auto"/>
          <w:sz w:val="28"/>
          <w:szCs w:val="28"/>
        </w:rPr>
        <w:t>职责</w:t>
      </w:r>
      <w:r>
        <w:rPr>
          <w:rFonts w:hint="eastAsia" w:ascii="宋体" w:hAnsi="宋体" w:eastAsia="宋体" w:cs="宋体"/>
          <w:color w:val="auto"/>
          <w:sz w:val="28"/>
          <w:szCs w:val="28"/>
          <w:lang w:val="en-US" w:eastAsia="zh-CN"/>
        </w:rPr>
        <w:t>如下</w:t>
      </w:r>
      <w:bookmarkEnd w:id="2"/>
      <w:r>
        <w:rPr>
          <w:rFonts w:hint="eastAsia" w:ascii="宋体" w:hAnsi="宋体" w:eastAsia="宋体" w:cs="宋体"/>
          <w:color w:val="auto"/>
          <w:sz w:val="28"/>
          <w:szCs w:val="28"/>
          <w:lang w:val="en-US" w:eastAsia="zh-CN"/>
        </w:rPr>
        <w:t>:</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政治协商。对国家大政方针和地方重要举措以及经济建设、政治建设、文化建设、社会建设和生态文明建设中的重要问题，在决策之前和决策实施中进行协商。</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民主监督。通过提出意见、批评、建议的方式，对国家宪法、法律和法规的实施及重大方针政策、重大改革举措、重要决策部署的贯彻执行情况，涉及人民群众切身利益的实问题解决落实情况，国家机关及其工作人员的工作等，进行协商式监督。 </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参政议政。参政议政是对政治、经济、文化、社会生活和生态环境等方面的重要问题以及人民群众普遍关心的问题，开展调查研究，反映社情民意，进行协商讨论。通过调研报告、提案、建议案或其他形式，向中国共产党和国家机关提出意见和建议。</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围绕州委、州政府中心工作，开展各种调研视察活动，为领导决策提供有力可靠的政策依据</w:t>
      </w:r>
      <w:r>
        <w:rPr>
          <w:rFonts w:hint="eastAsia" w:ascii="宋体" w:hAnsi="宋体" w:eastAsia="宋体" w:cs="宋体"/>
          <w:color w:val="auto"/>
          <w:sz w:val="28"/>
          <w:szCs w:val="28"/>
          <w:lang w:val="en-US"/>
        </w:rPr>
        <w:t>;</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进一步做好全州文史资料的收集、整理、编辑、出版工作</w:t>
      </w:r>
      <w:r>
        <w:rPr>
          <w:rFonts w:hint="eastAsia" w:ascii="宋体" w:hAnsi="宋体" w:eastAsia="宋体" w:cs="宋体"/>
          <w:color w:val="auto"/>
          <w:sz w:val="28"/>
          <w:szCs w:val="28"/>
          <w:lang w:val="en-US"/>
        </w:rPr>
        <w:t>;</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加强与兄弟政协组织的联系，进一步扩大政协在社会上的影响力</w:t>
      </w:r>
      <w:r>
        <w:rPr>
          <w:rFonts w:hint="eastAsia" w:ascii="宋体" w:hAnsi="宋体" w:eastAsia="宋体" w:cs="宋体"/>
          <w:color w:val="auto"/>
          <w:sz w:val="28"/>
          <w:szCs w:val="28"/>
          <w:lang w:val="en-US"/>
        </w:rPr>
        <w:t>;</w:t>
      </w:r>
    </w:p>
    <w:p>
      <w:pPr>
        <w:pStyle w:val="15"/>
        <w:numPr>
          <w:ilvl w:val="0"/>
          <w:numId w:val="1"/>
        </w:numPr>
        <w:spacing w:before="183" w:beforeLines="50" w:after="183" w:afterLines="50"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承办省政协、州委、州政府交办的其他工作任务。</w:t>
      </w:r>
    </w:p>
    <w:p>
      <w:pPr>
        <w:pStyle w:val="15"/>
        <w:spacing w:before="183" w:beforeLines="50" w:after="183" w:afterLines="50" w:line="540" w:lineRule="exact"/>
        <w:ind w:firstLine="600"/>
        <w:rPr>
          <w:rFonts w:hint="eastAsia" w:ascii="宋体" w:hAnsi="宋体" w:eastAsia="宋体" w:cs="宋体"/>
          <w:color w:val="auto"/>
          <w:sz w:val="28"/>
          <w:szCs w:val="28"/>
        </w:rPr>
      </w:pPr>
      <w:r>
        <w:rPr>
          <w:rFonts w:hint="eastAsia" w:ascii="宋体" w:hAnsi="宋体" w:eastAsia="宋体" w:cs="宋体"/>
          <w:color w:val="auto"/>
          <w:sz w:val="28"/>
          <w:szCs w:val="28"/>
        </w:rPr>
        <w:t>截止202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年12月31日，政协湘西自治州委员会经州编委核定的编制人数</w:t>
      </w:r>
      <w:r>
        <w:rPr>
          <w:rFonts w:hint="eastAsia" w:ascii="宋体" w:hAnsi="宋体" w:cs="宋体"/>
          <w:color w:val="auto"/>
          <w:sz w:val="28"/>
          <w:szCs w:val="28"/>
          <w:lang w:val="en-US" w:eastAsia="zh-CN"/>
        </w:rPr>
        <w:t>72</w:t>
      </w:r>
      <w:r>
        <w:rPr>
          <w:rFonts w:hint="eastAsia" w:ascii="宋体" w:hAnsi="宋体" w:eastAsia="宋体" w:cs="宋体"/>
          <w:color w:val="auto"/>
          <w:sz w:val="28"/>
          <w:szCs w:val="28"/>
          <w:lang w:val="en-US" w:eastAsia="zh-CN"/>
        </w:rPr>
        <w:t>名</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其中行政编制</w:t>
      </w:r>
      <w:r>
        <w:rPr>
          <w:rFonts w:hint="eastAsia" w:ascii="宋体" w:hAnsi="宋体" w:cs="宋体"/>
          <w:color w:val="auto"/>
          <w:sz w:val="28"/>
          <w:szCs w:val="28"/>
          <w:lang w:val="en-US" w:eastAsia="zh-CN"/>
        </w:rPr>
        <w:t>52</w:t>
      </w:r>
      <w:bookmarkStart w:id="9" w:name="_GoBack"/>
      <w:bookmarkEnd w:id="9"/>
      <w:r>
        <w:rPr>
          <w:rFonts w:hint="eastAsia" w:ascii="宋体" w:hAnsi="宋体" w:eastAsia="宋体" w:cs="宋体"/>
          <w:color w:val="auto"/>
          <w:sz w:val="28"/>
          <w:szCs w:val="28"/>
          <w:lang w:val="en-US" w:eastAsia="zh-CN"/>
        </w:rPr>
        <w:t>名，事业编制2</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名。年末</w:t>
      </w:r>
      <w:r>
        <w:rPr>
          <w:rFonts w:hint="eastAsia" w:ascii="宋体" w:hAnsi="宋体" w:eastAsia="宋体" w:cs="宋体"/>
          <w:color w:val="auto"/>
          <w:sz w:val="28"/>
          <w:szCs w:val="28"/>
        </w:rPr>
        <w:t>实际在职人数</w:t>
      </w:r>
      <w:r>
        <w:rPr>
          <w:rFonts w:hint="eastAsia" w:ascii="宋体" w:hAnsi="宋体" w:cs="宋体"/>
          <w:color w:val="auto"/>
          <w:sz w:val="28"/>
          <w:szCs w:val="28"/>
          <w:lang w:val="en-US" w:eastAsia="zh-CN"/>
        </w:rPr>
        <w:t>72</w:t>
      </w:r>
      <w:r>
        <w:rPr>
          <w:rFonts w:hint="eastAsia" w:ascii="宋体" w:hAnsi="宋体" w:eastAsia="宋体" w:cs="宋体"/>
          <w:color w:val="auto"/>
          <w:sz w:val="28"/>
          <w:szCs w:val="28"/>
        </w:rPr>
        <w:t>人。</w:t>
      </w:r>
    </w:p>
    <w:p>
      <w:pPr>
        <w:numPr>
          <w:ilvl w:val="0"/>
          <w:numId w:val="0"/>
        </w:numPr>
        <w:spacing w:line="580" w:lineRule="exact"/>
        <w:ind w:firstLine="560" w:firstLineChars="200"/>
        <w:jc w:val="both"/>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二</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单位年度整体支出绩效目标</w:t>
      </w:r>
    </w:p>
    <w:p>
      <w:pPr>
        <w:numPr>
          <w:ilvl w:val="0"/>
          <w:numId w:val="0"/>
        </w:numPr>
        <w:spacing w:line="580" w:lineRule="exact"/>
        <w:ind w:firstLine="560" w:firstLineChars="200"/>
        <w:jc w:val="both"/>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202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年，州政协办公室认真贯彻落实习近平新时代中国特色社会主义思想，围绕州政协2022年工作要点和年度协商与监督工作计划，积极履行统筹协调、参谋服务、保障运转职能，各项工作规范有序开展。发挥委员自身优势，为我州经济发展、</w:t>
      </w:r>
      <w:r>
        <w:rPr>
          <w:rFonts w:hint="eastAsia" w:ascii="宋体" w:hAnsi="宋体" w:cs="宋体"/>
          <w:bCs/>
          <w:color w:val="auto"/>
          <w:sz w:val="28"/>
          <w:szCs w:val="28"/>
          <w:lang w:val="en-US" w:eastAsia="zh-CN"/>
        </w:rPr>
        <w:t>乡村振兴</w:t>
      </w:r>
      <w:r>
        <w:rPr>
          <w:rFonts w:hint="eastAsia" w:ascii="宋体" w:hAnsi="宋体" w:eastAsia="宋体" w:cs="宋体"/>
          <w:bCs/>
          <w:color w:val="auto"/>
          <w:sz w:val="28"/>
          <w:szCs w:val="28"/>
          <w:lang w:val="en-US" w:eastAsia="zh-CN"/>
        </w:rPr>
        <w:t>等各项建设舔砖加瓦。通过政协全会等各种会议，凝聚人心，使政协三大职能得以</w:t>
      </w:r>
      <w:r>
        <w:rPr>
          <w:rFonts w:hint="eastAsia" w:ascii="宋体" w:hAnsi="宋体" w:cs="宋体"/>
          <w:bCs/>
          <w:color w:val="auto"/>
          <w:sz w:val="28"/>
          <w:szCs w:val="28"/>
          <w:lang w:val="en-US" w:eastAsia="zh-CN"/>
        </w:rPr>
        <w:t>全面</w:t>
      </w:r>
      <w:r>
        <w:rPr>
          <w:rFonts w:hint="eastAsia" w:ascii="宋体" w:hAnsi="宋体" w:eastAsia="宋体" w:cs="宋体"/>
          <w:bCs/>
          <w:color w:val="auto"/>
          <w:sz w:val="28"/>
          <w:szCs w:val="28"/>
          <w:lang w:val="en-US" w:eastAsia="zh-CN"/>
        </w:rPr>
        <w:t>履行。</w:t>
      </w:r>
      <w:r>
        <w:rPr>
          <w:rFonts w:hint="eastAsia" w:ascii="宋体" w:hAnsi="宋体" w:cs="宋体"/>
          <w:bCs/>
          <w:color w:val="auto"/>
          <w:sz w:val="28"/>
          <w:szCs w:val="28"/>
          <w:lang w:val="en-US" w:eastAsia="zh-CN"/>
        </w:rPr>
        <w:t>2022年抓好制度建设、抓好业务工作、抓好队伍建设，坚持规范管理，机关工作基础进一步夯实，</w:t>
      </w:r>
      <w:r>
        <w:rPr>
          <w:rFonts w:hint="eastAsia" w:ascii="宋体" w:hAnsi="宋体" w:eastAsia="宋体" w:cs="宋体"/>
          <w:bCs/>
          <w:color w:val="auto"/>
          <w:sz w:val="28"/>
          <w:szCs w:val="28"/>
          <w:lang w:val="en-US" w:eastAsia="zh-CN"/>
        </w:rPr>
        <w:t>全面完成了2021年度州政协机关五个文明建设绩效考核、干部职工年度考核和科级及以下公务员平时考核工作</w:t>
      </w:r>
      <w:r>
        <w:rPr>
          <w:rFonts w:hint="eastAsia" w:ascii="宋体" w:hAnsi="宋体" w:cs="宋体"/>
          <w:bCs/>
          <w:color w:val="auto"/>
          <w:sz w:val="28"/>
          <w:szCs w:val="28"/>
          <w:lang w:val="en-US" w:eastAsia="zh-CN"/>
        </w:rPr>
        <w:t>；</w:t>
      </w:r>
      <w:r>
        <w:rPr>
          <w:rFonts w:hint="eastAsia" w:ascii="宋体" w:hAnsi="宋体" w:eastAsia="宋体" w:cs="宋体"/>
          <w:bCs/>
          <w:color w:val="auto"/>
          <w:sz w:val="28"/>
          <w:szCs w:val="28"/>
          <w:lang w:val="en-US" w:eastAsia="zh-CN"/>
        </w:rPr>
        <w:t>持续巩固省级文明单位创建成果</w:t>
      </w:r>
      <w:r>
        <w:rPr>
          <w:rFonts w:hint="eastAsia" w:ascii="宋体" w:hAnsi="宋体" w:cs="宋体"/>
          <w:bCs/>
          <w:color w:val="auto"/>
          <w:sz w:val="28"/>
          <w:szCs w:val="28"/>
          <w:lang w:val="en-US" w:eastAsia="zh-CN"/>
        </w:rPr>
        <w:t>，积极开展“全国文明城市创建联点共建进社区”、“文明交通”、青年志愿服务、节能宣传周等系列文明创建、民族团结进步和平安建设活动，促进干部队伍素质有效提升。</w:t>
      </w:r>
    </w:p>
    <w:p>
      <w:pPr>
        <w:pStyle w:val="15"/>
        <w:widowControl/>
        <w:numPr>
          <w:ilvl w:val="0"/>
          <w:numId w:val="2"/>
        </w:numPr>
        <w:spacing w:before="183" w:beforeLines="50" w:after="183" w:afterLines="50" w:line="540" w:lineRule="exact"/>
        <w:ind w:left="0" w:leftChars="0" w:firstLine="599" w:firstLineChars="213"/>
        <w:rPr>
          <w:rFonts w:hint="eastAsia" w:ascii="宋体" w:hAnsi="宋体" w:eastAsia="宋体" w:cs="宋体"/>
          <w:b/>
          <w:bCs/>
          <w:color w:val="auto"/>
          <w:sz w:val="28"/>
          <w:szCs w:val="28"/>
        </w:rPr>
      </w:pPr>
      <w:r>
        <w:rPr>
          <w:rFonts w:hint="eastAsia" w:ascii="宋体" w:hAnsi="宋体" w:eastAsia="宋体" w:cs="宋体"/>
          <w:b/>
          <w:bCs/>
          <w:color w:val="auto"/>
          <w:sz w:val="28"/>
          <w:szCs w:val="28"/>
        </w:rPr>
        <w:t>一般公共预算支出情况</w:t>
      </w:r>
    </w:p>
    <w:p>
      <w:pPr>
        <w:pStyle w:val="15"/>
        <w:widowControl/>
        <w:spacing w:line="540" w:lineRule="exact"/>
        <w:ind w:firstLine="6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年本单位一般公共财政拨款收入合计</w:t>
      </w:r>
      <w:r>
        <w:rPr>
          <w:rFonts w:hint="eastAsia" w:ascii="宋体" w:hAnsi="宋体" w:cs="宋体"/>
          <w:color w:val="auto"/>
          <w:sz w:val="28"/>
          <w:szCs w:val="28"/>
          <w:lang w:val="en-US" w:eastAsia="zh-CN"/>
        </w:rPr>
        <w:t>2937.15</w:t>
      </w:r>
      <w:r>
        <w:rPr>
          <w:rFonts w:hint="eastAsia" w:ascii="宋体" w:hAnsi="宋体" w:eastAsia="宋体" w:cs="宋体"/>
          <w:color w:val="auto"/>
          <w:sz w:val="28"/>
          <w:szCs w:val="28"/>
          <w:lang w:val="en-US" w:eastAsia="zh-CN"/>
        </w:rPr>
        <w:t>万元，较202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年收入</w:t>
      </w:r>
      <w:r>
        <w:rPr>
          <w:rFonts w:hint="eastAsia" w:ascii="宋体" w:hAnsi="宋体" w:cs="宋体"/>
          <w:color w:val="auto"/>
          <w:sz w:val="28"/>
          <w:szCs w:val="28"/>
          <w:lang w:val="en-US" w:eastAsia="zh-CN"/>
        </w:rPr>
        <w:t>2474.50</w:t>
      </w:r>
      <w:r>
        <w:rPr>
          <w:rFonts w:hint="eastAsia" w:ascii="宋体" w:hAnsi="宋体" w:eastAsia="宋体" w:cs="宋体"/>
          <w:color w:val="auto"/>
          <w:sz w:val="28"/>
          <w:szCs w:val="28"/>
          <w:lang w:val="en-US" w:eastAsia="zh-CN"/>
        </w:rPr>
        <w:t>万元，增加</w:t>
      </w:r>
      <w:r>
        <w:rPr>
          <w:rFonts w:hint="eastAsia" w:ascii="宋体" w:hAnsi="宋体" w:cs="宋体"/>
          <w:color w:val="auto"/>
          <w:sz w:val="28"/>
          <w:szCs w:val="28"/>
          <w:lang w:val="en-US" w:eastAsia="zh-CN"/>
        </w:rPr>
        <w:t>462.65</w:t>
      </w:r>
      <w:r>
        <w:rPr>
          <w:rFonts w:hint="eastAsia" w:ascii="宋体" w:hAnsi="宋体" w:eastAsia="宋体" w:cs="宋体"/>
          <w:color w:val="auto"/>
          <w:sz w:val="28"/>
          <w:szCs w:val="28"/>
          <w:lang w:val="en-US" w:eastAsia="zh-CN"/>
        </w:rPr>
        <w:t>万元，增长</w:t>
      </w:r>
      <w:r>
        <w:rPr>
          <w:rFonts w:hint="eastAsia" w:ascii="宋体" w:hAnsi="宋体" w:cs="宋体"/>
          <w:color w:val="auto"/>
          <w:sz w:val="28"/>
          <w:szCs w:val="28"/>
          <w:lang w:val="en-US" w:eastAsia="zh-CN"/>
        </w:rPr>
        <w:t>18.69</w:t>
      </w:r>
      <w:r>
        <w:rPr>
          <w:rFonts w:hint="eastAsia" w:ascii="宋体" w:hAnsi="宋体" w:eastAsia="宋体" w:cs="宋体"/>
          <w:color w:val="auto"/>
          <w:sz w:val="28"/>
          <w:szCs w:val="28"/>
          <w:lang w:val="en-US" w:eastAsia="zh-CN"/>
        </w:rPr>
        <w:t>%。</w:t>
      </w:r>
    </w:p>
    <w:p>
      <w:pPr>
        <w:pStyle w:val="15"/>
        <w:widowControl/>
        <w:spacing w:line="540" w:lineRule="exact"/>
        <w:ind w:firstLine="6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年本单位一般公共财政拨款支出合计</w:t>
      </w:r>
      <w:r>
        <w:rPr>
          <w:rFonts w:hint="eastAsia" w:ascii="宋体" w:hAnsi="宋体" w:cs="宋体"/>
          <w:color w:val="auto"/>
          <w:sz w:val="28"/>
          <w:szCs w:val="28"/>
          <w:lang w:val="en-US" w:eastAsia="zh-CN"/>
        </w:rPr>
        <w:t>2948.09</w:t>
      </w:r>
      <w:r>
        <w:rPr>
          <w:rFonts w:hint="eastAsia" w:ascii="宋体" w:hAnsi="宋体" w:eastAsia="宋体" w:cs="宋体"/>
          <w:color w:val="auto"/>
          <w:sz w:val="28"/>
          <w:szCs w:val="28"/>
          <w:lang w:val="en-US" w:eastAsia="zh-CN"/>
        </w:rPr>
        <w:t>万元，其中：一般公共服务支出</w:t>
      </w:r>
      <w:r>
        <w:rPr>
          <w:rFonts w:hint="eastAsia" w:ascii="宋体" w:hAnsi="宋体" w:cs="宋体"/>
          <w:color w:val="auto"/>
          <w:sz w:val="28"/>
          <w:szCs w:val="28"/>
          <w:lang w:val="en-US" w:eastAsia="zh-CN"/>
        </w:rPr>
        <w:t>2420.24</w:t>
      </w:r>
      <w:r>
        <w:rPr>
          <w:rFonts w:hint="eastAsia" w:ascii="宋体" w:hAnsi="宋体" w:eastAsia="宋体" w:cs="宋体"/>
          <w:color w:val="auto"/>
          <w:sz w:val="28"/>
          <w:szCs w:val="28"/>
          <w:lang w:val="en-US" w:eastAsia="zh-CN"/>
        </w:rPr>
        <w:t>万元、社会保障和就业支出</w:t>
      </w:r>
      <w:r>
        <w:rPr>
          <w:rFonts w:hint="eastAsia" w:ascii="宋体" w:hAnsi="宋体" w:cs="宋体"/>
          <w:color w:val="auto"/>
          <w:sz w:val="28"/>
          <w:szCs w:val="28"/>
          <w:lang w:val="en-US" w:eastAsia="zh-CN"/>
        </w:rPr>
        <w:t>291.67</w:t>
      </w:r>
      <w:r>
        <w:rPr>
          <w:rFonts w:hint="eastAsia" w:ascii="宋体" w:hAnsi="宋体" w:eastAsia="宋体" w:cs="宋体"/>
          <w:color w:val="auto"/>
          <w:sz w:val="28"/>
          <w:szCs w:val="28"/>
          <w:lang w:val="en-US" w:eastAsia="zh-CN"/>
        </w:rPr>
        <w:t>万元、卫生健康支出</w:t>
      </w:r>
      <w:r>
        <w:rPr>
          <w:rFonts w:hint="eastAsia" w:ascii="宋体" w:hAnsi="宋体" w:cs="宋体"/>
          <w:color w:val="auto"/>
          <w:sz w:val="28"/>
          <w:szCs w:val="28"/>
          <w:lang w:val="en-US" w:eastAsia="zh-CN"/>
        </w:rPr>
        <w:t>44.52</w:t>
      </w:r>
      <w:r>
        <w:rPr>
          <w:rFonts w:hint="eastAsia" w:ascii="宋体" w:hAnsi="宋体" w:eastAsia="宋体" w:cs="宋体"/>
          <w:color w:val="auto"/>
          <w:sz w:val="28"/>
          <w:szCs w:val="28"/>
          <w:lang w:val="en-US" w:eastAsia="zh-CN"/>
        </w:rPr>
        <w:t>万元、住房保障支出</w:t>
      </w:r>
      <w:r>
        <w:rPr>
          <w:rFonts w:hint="eastAsia" w:ascii="宋体" w:hAnsi="宋体" w:cs="宋体"/>
          <w:color w:val="auto"/>
          <w:sz w:val="28"/>
          <w:szCs w:val="28"/>
          <w:lang w:val="en-US" w:eastAsia="zh-CN"/>
        </w:rPr>
        <w:t>66.89</w:t>
      </w:r>
      <w:r>
        <w:rPr>
          <w:rFonts w:hint="eastAsia" w:ascii="宋体" w:hAnsi="宋体" w:eastAsia="宋体" w:cs="宋体"/>
          <w:color w:val="auto"/>
          <w:sz w:val="28"/>
          <w:szCs w:val="28"/>
          <w:lang w:val="en-US" w:eastAsia="zh-CN"/>
        </w:rPr>
        <w:t>万元、其他支出</w:t>
      </w:r>
      <w:r>
        <w:rPr>
          <w:rFonts w:hint="eastAsia" w:ascii="宋体" w:hAnsi="宋体" w:cs="宋体"/>
          <w:color w:val="auto"/>
          <w:sz w:val="28"/>
          <w:szCs w:val="28"/>
          <w:lang w:val="en-US" w:eastAsia="zh-CN"/>
        </w:rPr>
        <w:t>64.77</w:t>
      </w:r>
      <w:r>
        <w:rPr>
          <w:rFonts w:hint="eastAsia" w:ascii="宋体" w:hAnsi="宋体" w:eastAsia="宋体" w:cs="宋体"/>
          <w:color w:val="auto"/>
          <w:sz w:val="28"/>
          <w:szCs w:val="28"/>
          <w:lang w:val="en-US" w:eastAsia="zh-CN"/>
        </w:rPr>
        <w:t xml:space="preserve">万元。 </w:t>
      </w:r>
    </w:p>
    <w:p>
      <w:pPr>
        <w:pStyle w:val="15"/>
        <w:keepNext w:val="0"/>
        <w:keepLines w:val="0"/>
        <w:pageBreakBefore w:val="0"/>
        <w:widowControl/>
        <w:kinsoku/>
        <w:wordWrap/>
        <w:overflowPunct/>
        <w:topLinePunct w:val="0"/>
        <w:autoSpaceDE/>
        <w:autoSpaceDN/>
        <w:bidi w:val="0"/>
        <w:adjustRightInd/>
        <w:snapToGrid/>
        <w:spacing w:before="185" w:beforeLines="50" w:after="185" w:afterLines="50" w:line="540" w:lineRule="exact"/>
        <w:ind w:firstLine="6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基本支出情况</w:t>
      </w:r>
    </w:p>
    <w:p>
      <w:pPr>
        <w:pStyle w:val="15"/>
        <w:widowControl/>
        <w:spacing w:line="540" w:lineRule="exact"/>
        <w:ind w:firstLine="6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本年基本支出合</w:t>
      </w:r>
      <w:r>
        <w:rPr>
          <w:rFonts w:hint="eastAsia" w:ascii="宋体" w:hAnsi="宋体" w:cs="宋体"/>
          <w:color w:val="auto"/>
          <w:sz w:val="28"/>
          <w:szCs w:val="28"/>
          <w:lang w:val="en-US" w:eastAsia="zh-CN"/>
        </w:rPr>
        <w:t>1835.09</w:t>
      </w:r>
      <w:r>
        <w:rPr>
          <w:rFonts w:hint="eastAsia" w:ascii="宋体" w:hAnsi="宋体" w:eastAsia="宋体" w:cs="宋体"/>
          <w:color w:val="auto"/>
          <w:sz w:val="28"/>
          <w:szCs w:val="28"/>
          <w:lang w:val="en-US" w:eastAsia="zh-CN"/>
        </w:rPr>
        <w:t>万元，其中人员支出</w:t>
      </w:r>
      <w:r>
        <w:rPr>
          <w:rFonts w:hint="eastAsia" w:ascii="宋体" w:hAnsi="宋体" w:cs="宋体"/>
          <w:color w:val="auto"/>
          <w:sz w:val="28"/>
          <w:szCs w:val="28"/>
          <w:lang w:val="en-US" w:eastAsia="zh-CN"/>
        </w:rPr>
        <w:t>1627.34</w:t>
      </w:r>
      <w:r>
        <w:rPr>
          <w:rFonts w:hint="eastAsia" w:ascii="宋体" w:hAnsi="宋体" w:eastAsia="宋体" w:cs="宋体"/>
          <w:color w:val="auto"/>
          <w:sz w:val="28"/>
          <w:szCs w:val="28"/>
          <w:lang w:val="en-US" w:eastAsia="zh-CN"/>
        </w:rPr>
        <w:t>万元，公用经费支出</w:t>
      </w:r>
      <w:r>
        <w:rPr>
          <w:rFonts w:hint="eastAsia" w:ascii="宋体" w:hAnsi="宋体" w:cs="宋体"/>
          <w:color w:val="auto"/>
          <w:sz w:val="28"/>
          <w:szCs w:val="28"/>
          <w:lang w:val="en-US" w:eastAsia="zh-CN"/>
        </w:rPr>
        <w:t>207.75</w:t>
      </w:r>
      <w:r>
        <w:rPr>
          <w:rFonts w:hint="eastAsia" w:ascii="宋体" w:hAnsi="宋体" w:eastAsia="宋体" w:cs="宋体"/>
          <w:color w:val="auto"/>
          <w:sz w:val="28"/>
          <w:szCs w:val="28"/>
          <w:lang w:val="en-US" w:eastAsia="zh-CN"/>
        </w:rPr>
        <w:t>万元。本部门支出均按财政部门要求进行使用和管理，并呈逐年减少的趋势。</w:t>
      </w:r>
    </w:p>
    <w:p>
      <w:pPr>
        <w:pStyle w:val="15"/>
        <w:widowControl/>
        <w:spacing w:line="540" w:lineRule="exact"/>
        <w:ind w:firstLine="6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年基本支出合计1835.09万元，较202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年基本支出1605.11万元，增加22</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98</w:t>
      </w:r>
      <w:r>
        <w:rPr>
          <w:rFonts w:hint="eastAsia" w:ascii="宋体" w:hAnsi="宋体" w:eastAsia="宋体" w:cs="宋体"/>
          <w:color w:val="auto"/>
          <w:sz w:val="28"/>
          <w:szCs w:val="28"/>
          <w:lang w:val="en-US" w:eastAsia="zh-CN"/>
        </w:rPr>
        <w:t>万元。</w:t>
      </w:r>
    </w:p>
    <w:tbl>
      <w:tblPr>
        <w:tblStyle w:val="9"/>
        <w:tblpPr w:leftFromText="180" w:rightFromText="180" w:vertAnchor="text" w:tblpXSpec="center" w:tblpY="1"/>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1"/>
        <w:gridCol w:w="2835"/>
        <w:gridCol w:w="1984"/>
        <w:gridCol w:w="18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5" w:type="dxa"/>
            <w:shd w:val="clear" w:color="auto" w:fill="FFFFFF"/>
            <w:vAlign w:val="cente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项</w:t>
            </w:r>
            <w:r>
              <w:rPr>
                <w:rFonts w:hint="eastAsia" w:ascii="宋体" w:hAnsi="宋体" w:eastAsia="宋体" w:cs="宋体"/>
                <w:b/>
                <w:color w:val="auto"/>
                <w:sz w:val="21"/>
                <w:szCs w:val="21"/>
                <w:lang w:val="en-US" w:eastAsia="zh-CN" w:bidi="ar"/>
              </w:rPr>
              <w:t xml:space="preserve">  </w:t>
            </w:r>
            <w:r>
              <w:rPr>
                <w:rFonts w:hint="eastAsia" w:ascii="宋体" w:hAnsi="宋体" w:eastAsia="宋体" w:cs="宋体"/>
                <w:b/>
                <w:color w:val="auto"/>
                <w:sz w:val="21"/>
                <w:szCs w:val="21"/>
                <w:lang w:bidi="ar"/>
              </w:rPr>
              <w:t>目</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20</w:t>
            </w:r>
            <w:r>
              <w:rPr>
                <w:rFonts w:hint="eastAsia" w:ascii="宋体" w:hAnsi="宋体" w:eastAsia="宋体" w:cs="宋体"/>
                <w:b/>
                <w:color w:val="auto"/>
                <w:sz w:val="21"/>
                <w:szCs w:val="21"/>
                <w:lang w:val="en-US" w:eastAsia="zh-CN" w:bidi="ar"/>
              </w:rPr>
              <w:t>21</w:t>
            </w:r>
            <w:r>
              <w:rPr>
                <w:rFonts w:hint="eastAsia" w:ascii="宋体" w:hAnsi="宋体" w:eastAsia="宋体" w:cs="宋体"/>
                <w:b/>
                <w:color w:val="auto"/>
                <w:sz w:val="21"/>
                <w:szCs w:val="21"/>
                <w:lang w:bidi="ar"/>
              </w:rPr>
              <w:t>年基本支出（万元）</w:t>
            </w:r>
          </w:p>
        </w:tc>
        <w:tc>
          <w:tcPr>
            <w:tcW w:w="1844" w:type="dxa"/>
            <w:shd w:val="clear" w:color="auto" w:fill="FFFFFF"/>
            <w:vAlign w:val="center"/>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20</w:t>
            </w:r>
            <w:r>
              <w:rPr>
                <w:rFonts w:hint="eastAsia" w:ascii="宋体" w:hAnsi="宋体" w:eastAsia="宋体" w:cs="宋体"/>
                <w:b/>
                <w:color w:val="auto"/>
                <w:sz w:val="21"/>
                <w:szCs w:val="21"/>
                <w:lang w:val="en-US" w:eastAsia="zh-CN" w:bidi="ar"/>
              </w:rPr>
              <w:t>2</w:t>
            </w:r>
            <w:r>
              <w:rPr>
                <w:rFonts w:hint="eastAsia" w:ascii="宋体" w:hAnsi="宋体" w:cs="宋体"/>
                <w:b/>
                <w:color w:val="auto"/>
                <w:sz w:val="21"/>
                <w:szCs w:val="21"/>
                <w:lang w:val="en-US" w:eastAsia="zh-CN" w:bidi="ar"/>
              </w:rPr>
              <w:t>2</w:t>
            </w:r>
            <w:r>
              <w:rPr>
                <w:rFonts w:hint="eastAsia" w:ascii="宋体" w:hAnsi="宋体" w:eastAsia="宋体" w:cs="宋体"/>
                <w:b/>
                <w:color w:val="auto"/>
                <w:sz w:val="21"/>
                <w:szCs w:val="21"/>
                <w:lang w:bidi="ar"/>
              </w:rPr>
              <w:t>年基本支出（万元）</w:t>
            </w:r>
          </w:p>
        </w:tc>
        <w:tc>
          <w:tcPr>
            <w:tcW w:w="1417" w:type="dxa"/>
            <w:shd w:val="clear" w:color="auto" w:fill="FFFFFF"/>
            <w:vAlign w:val="center"/>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增加额</w:t>
            </w:r>
          </w:p>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工资福利支出</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839.00</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1626.69</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787.69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商品服务支出</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235.54</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206.16</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对个人与家庭补助支出</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530.57</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0.65</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bookmarkStart w:id="3" w:name="_Hlk41158737"/>
            <w:r>
              <w:rPr>
                <w:rFonts w:hint="eastAsia" w:ascii="宋体" w:hAnsi="宋体" w:eastAsia="宋体" w:cs="宋体"/>
                <w:color w:val="auto"/>
                <w:sz w:val="21"/>
                <w:szCs w:val="21"/>
              </w:rPr>
              <w:t>资本性支出</w:t>
            </w:r>
            <w:bookmarkEnd w:id="3"/>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1.59</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5</w:t>
            </w:r>
          </w:p>
        </w:tc>
        <w:tc>
          <w:tcPr>
            <w:tcW w:w="2835" w:type="dxa"/>
            <w:shd w:val="clear" w:color="auto" w:fill="FFFFFF"/>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    计</w:t>
            </w:r>
          </w:p>
        </w:tc>
        <w:tc>
          <w:tcPr>
            <w:tcW w:w="1984"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1605.11</w:t>
            </w:r>
          </w:p>
        </w:tc>
        <w:tc>
          <w:tcPr>
            <w:tcW w:w="1844"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1835.09</w:t>
            </w:r>
          </w:p>
        </w:tc>
        <w:tc>
          <w:tcPr>
            <w:tcW w:w="1417" w:type="dxa"/>
            <w:shd w:val="clear" w:color="auto" w:fill="FFFFFF"/>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229.98</w:t>
            </w:r>
          </w:p>
        </w:tc>
      </w:tr>
    </w:tbl>
    <w:p>
      <w:pPr>
        <w:pStyle w:val="15"/>
        <w:keepNext w:val="0"/>
        <w:keepLines w:val="0"/>
        <w:pageBreakBefore w:val="0"/>
        <w:widowControl/>
        <w:kinsoku/>
        <w:wordWrap/>
        <w:overflowPunct/>
        <w:topLinePunct w:val="0"/>
        <w:autoSpaceDE/>
        <w:autoSpaceDN/>
        <w:bidi w:val="0"/>
        <w:adjustRightInd/>
        <w:snapToGrid/>
        <w:spacing w:before="185" w:beforeLines="50" w:after="185" w:afterLines="50" w:line="540" w:lineRule="exact"/>
        <w:ind w:firstLine="6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项目支出情况</w:t>
      </w:r>
    </w:p>
    <w:p>
      <w:pPr>
        <w:spacing w:after="0" w:line="580" w:lineRule="exact"/>
        <w:ind w:firstLine="646"/>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202</w:t>
      </w:r>
      <w:r>
        <w:rPr>
          <w:rFonts w:hint="eastAsia" w:ascii="宋体" w:hAnsi="宋体" w:cs="宋体"/>
          <w:color w:val="auto"/>
          <w:kern w:val="2"/>
          <w:sz w:val="28"/>
          <w:szCs w:val="28"/>
          <w:lang w:val="en-US" w:eastAsia="zh-CN"/>
        </w:rPr>
        <w:t>2</w:t>
      </w:r>
      <w:r>
        <w:rPr>
          <w:rFonts w:hint="eastAsia" w:ascii="宋体" w:hAnsi="宋体" w:eastAsia="宋体" w:cs="宋体"/>
          <w:color w:val="auto"/>
          <w:kern w:val="2"/>
          <w:sz w:val="28"/>
          <w:szCs w:val="28"/>
        </w:rPr>
        <w:t>年</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本部门本级专项资金项目支出</w:t>
      </w:r>
      <w:r>
        <w:rPr>
          <w:rFonts w:hint="eastAsia" w:ascii="宋体" w:hAnsi="宋体" w:cs="宋体"/>
          <w:color w:val="auto"/>
          <w:kern w:val="2"/>
          <w:sz w:val="28"/>
          <w:szCs w:val="28"/>
          <w:lang w:val="en-US" w:eastAsia="zh-CN"/>
        </w:rPr>
        <w:t>1158.85</w:t>
      </w:r>
      <w:r>
        <w:rPr>
          <w:rFonts w:hint="eastAsia" w:ascii="宋体" w:hAnsi="宋体" w:eastAsia="宋体" w:cs="宋体"/>
          <w:color w:val="auto"/>
          <w:kern w:val="2"/>
          <w:sz w:val="28"/>
          <w:szCs w:val="28"/>
        </w:rPr>
        <w:t>万元，比20</w:t>
      </w:r>
      <w:r>
        <w:rPr>
          <w:rFonts w:hint="eastAsia" w:ascii="宋体" w:hAnsi="宋体" w:eastAsia="宋体" w:cs="宋体"/>
          <w:color w:val="auto"/>
          <w:kern w:val="2"/>
          <w:sz w:val="28"/>
          <w:szCs w:val="28"/>
          <w:lang w:val="en-US" w:eastAsia="zh-CN"/>
        </w:rPr>
        <w:t>2</w:t>
      </w:r>
      <w:r>
        <w:rPr>
          <w:rFonts w:hint="eastAsia" w:ascii="宋体" w:hAnsi="宋体" w:cs="宋体"/>
          <w:color w:val="auto"/>
          <w:kern w:val="2"/>
          <w:sz w:val="28"/>
          <w:szCs w:val="28"/>
          <w:lang w:val="en-US" w:eastAsia="zh-CN"/>
        </w:rPr>
        <w:t>1</w:t>
      </w:r>
      <w:r>
        <w:rPr>
          <w:rFonts w:hint="eastAsia" w:ascii="宋体" w:hAnsi="宋体" w:eastAsia="宋体" w:cs="宋体"/>
          <w:color w:val="auto"/>
          <w:kern w:val="2"/>
          <w:sz w:val="28"/>
          <w:szCs w:val="28"/>
        </w:rPr>
        <w:t>年项目支出</w:t>
      </w:r>
      <w:r>
        <w:rPr>
          <w:rFonts w:hint="eastAsia" w:ascii="宋体" w:hAnsi="宋体" w:eastAsia="宋体" w:cs="宋体"/>
          <w:color w:val="auto"/>
          <w:kern w:val="2"/>
          <w:sz w:val="28"/>
          <w:szCs w:val="28"/>
          <w:lang w:val="en-US"/>
        </w:rPr>
        <w:t>870.71</w:t>
      </w:r>
      <w:r>
        <w:rPr>
          <w:rFonts w:hint="eastAsia" w:ascii="宋体" w:hAnsi="宋体" w:eastAsia="宋体" w:cs="宋体"/>
          <w:color w:val="auto"/>
          <w:kern w:val="2"/>
          <w:sz w:val="28"/>
          <w:szCs w:val="28"/>
        </w:rPr>
        <w:t>万元</w:t>
      </w:r>
      <w:r>
        <w:rPr>
          <w:rFonts w:hint="eastAsia" w:ascii="宋体" w:hAnsi="宋体" w:eastAsia="宋体" w:cs="宋体"/>
          <w:color w:val="auto"/>
          <w:kern w:val="2"/>
          <w:sz w:val="28"/>
          <w:szCs w:val="28"/>
          <w:lang w:val="en-US" w:eastAsia="zh-CN"/>
        </w:rPr>
        <w:t>增加</w:t>
      </w:r>
      <w:r>
        <w:rPr>
          <w:rFonts w:hint="eastAsia" w:ascii="宋体" w:hAnsi="宋体" w:cs="宋体"/>
          <w:color w:val="auto"/>
          <w:kern w:val="2"/>
          <w:sz w:val="28"/>
          <w:szCs w:val="28"/>
          <w:lang w:val="en-US" w:eastAsia="zh-CN"/>
        </w:rPr>
        <w:t>288.14</w:t>
      </w:r>
      <w:r>
        <w:rPr>
          <w:rFonts w:hint="eastAsia" w:ascii="宋体" w:hAnsi="宋体" w:eastAsia="宋体" w:cs="宋体"/>
          <w:color w:val="auto"/>
          <w:kern w:val="2"/>
          <w:sz w:val="28"/>
          <w:szCs w:val="28"/>
        </w:rPr>
        <w:t>万元，</w:t>
      </w:r>
      <w:r>
        <w:rPr>
          <w:rFonts w:hint="eastAsia" w:ascii="宋体" w:hAnsi="宋体" w:eastAsia="宋体" w:cs="宋体"/>
          <w:color w:val="auto"/>
          <w:kern w:val="2"/>
          <w:sz w:val="28"/>
          <w:szCs w:val="28"/>
          <w:lang w:val="en-US" w:eastAsia="zh-CN"/>
        </w:rPr>
        <w:t>增幅</w:t>
      </w:r>
      <w:r>
        <w:rPr>
          <w:rFonts w:hint="eastAsia" w:ascii="宋体" w:hAnsi="宋体" w:cs="宋体"/>
          <w:color w:val="auto"/>
          <w:kern w:val="2"/>
          <w:sz w:val="28"/>
          <w:szCs w:val="28"/>
          <w:lang w:val="en-US" w:eastAsia="zh-CN"/>
        </w:rPr>
        <w:t>33.09</w:t>
      </w:r>
      <w:r>
        <w:rPr>
          <w:rFonts w:hint="eastAsia" w:ascii="宋体" w:hAnsi="宋体" w:eastAsia="宋体" w:cs="宋体"/>
          <w:color w:val="auto"/>
          <w:kern w:val="2"/>
          <w:sz w:val="28"/>
          <w:szCs w:val="28"/>
        </w:rPr>
        <w:t>%；本年项目支出主要用于：一般公共服务支出</w:t>
      </w:r>
      <w:r>
        <w:rPr>
          <w:rFonts w:hint="eastAsia" w:ascii="宋体" w:hAnsi="宋体" w:cs="宋体"/>
          <w:color w:val="auto"/>
          <w:kern w:val="2"/>
          <w:sz w:val="28"/>
          <w:szCs w:val="28"/>
          <w:lang w:val="en-US" w:eastAsia="zh-CN"/>
        </w:rPr>
        <w:t>839.39</w:t>
      </w:r>
      <w:r>
        <w:rPr>
          <w:rFonts w:hint="eastAsia" w:ascii="宋体" w:hAnsi="宋体" w:eastAsia="宋体" w:cs="宋体"/>
          <w:color w:val="auto"/>
          <w:kern w:val="2"/>
          <w:sz w:val="28"/>
          <w:szCs w:val="28"/>
        </w:rPr>
        <w:t>万元，社会保障和就业支出</w:t>
      </w:r>
      <w:r>
        <w:rPr>
          <w:rFonts w:hint="eastAsia" w:ascii="宋体" w:hAnsi="宋体" w:cs="宋体"/>
          <w:color w:val="auto"/>
          <w:kern w:val="2"/>
          <w:sz w:val="28"/>
          <w:szCs w:val="28"/>
          <w:lang w:val="en-US" w:eastAsia="zh-CN"/>
        </w:rPr>
        <w:t>189.19</w:t>
      </w:r>
      <w:r>
        <w:rPr>
          <w:rFonts w:hint="eastAsia" w:ascii="宋体" w:hAnsi="宋体" w:eastAsia="宋体" w:cs="宋体"/>
          <w:color w:val="auto"/>
          <w:kern w:val="2"/>
          <w:sz w:val="28"/>
          <w:szCs w:val="28"/>
        </w:rPr>
        <w:t>万元</w:t>
      </w:r>
      <w:r>
        <w:rPr>
          <w:rFonts w:hint="eastAsia" w:ascii="宋体" w:hAnsi="宋体" w:eastAsia="宋体" w:cs="宋体"/>
          <w:color w:val="auto"/>
          <w:kern w:val="2"/>
          <w:sz w:val="28"/>
          <w:szCs w:val="28"/>
          <w:lang w:eastAsia="zh-CN"/>
        </w:rPr>
        <w:t>，</w:t>
      </w:r>
      <w:r>
        <w:rPr>
          <w:rFonts w:hint="eastAsia" w:ascii="宋体" w:hAnsi="宋体" w:cs="宋体"/>
          <w:color w:val="auto"/>
          <w:kern w:val="2"/>
          <w:sz w:val="28"/>
          <w:szCs w:val="28"/>
          <w:lang w:val="en-US" w:eastAsia="zh-CN"/>
        </w:rPr>
        <w:t>卫生健康支出5.50万元，农林水支出60万元，</w:t>
      </w:r>
      <w:r>
        <w:rPr>
          <w:rFonts w:hint="eastAsia" w:ascii="宋体" w:hAnsi="宋体" w:eastAsia="宋体" w:cs="宋体"/>
          <w:color w:val="auto"/>
          <w:kern w:val="2"/>
          <w:sz w:val="28"/>
          <w:szCs w:val="28"/>
          <w:lang w:val="en-US" w:eastAsia="zh-CN"/>
        </w:rPr>
        <w:t>其他支出</w:t>
      </w:r>
      <w:r>
        <w:rPr>
          <w:rFonts w:hint="eastAsia" w:ascii="宋体" w:hAnsi="宋体" w:cs="宋体"/>
          <w:color w:val="auto"/>
          <w:kern w:val="2"/>
          <w:sz w:val="28"/>
          <w:szCs w:val="28"/>
          <w:lang w:val="en-US" w:eastAsia="zh-CN"/>
        </w:rPr>
        <w:t>64.77</w:t>
      </w:r>
      <w:r>
        <w:rPr>
          <w:rFonts w:hint="eastAsia" w:ascii="宋体" w:hAnsi="宋体" w:eastAsia="宋体" w:cs="宋体"/>
          <w:color w:val="auto"/>
          <w:kern w:val="2"/>
          <w:sz w:val="28"/>
          <w:szCs w:val="28"/>
          <w:lang w:val="en-US" w:eastAsia="zh-CN"/>
        </w:rPr>
        <w:t>万元</w:t>
      </w:r>
      <w:r>
        <w:rPr>
          <w:rFonts w:hint="eastAsia" w:ascii="宋体" w:hAnsi="宋体" w:eastAsia="宋体" w:cs="宋体"/>
          <w:color w:val="auto"/>
          <w:kern w:val="2"/>
          <w:sz w:val="28"/>
          <w:szCs w:val="28"/>
        </w:rPr>
        <w:t>。</w:t>
      </w:r>
    </w:p>
    <w:p>
      <w:pPr>
        <w:spacing w:after="0" w:line="580" w:lineRule="exact"/>
        <w:ind w:firstLine="646"/>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本年项目支出全部</w:t>
      </w:r>
      <w:r>
        <w:rPr>
          <w:rFonts w:hint="eastAsia" w:ascii="宋体" w:hAnsi="宋体" w:eastAsia="宋体" w:cs="宋体"/>
          <w:color w:val="auto"/>
          <w:kern w:val="2"/>
          <w:sz w:val="28"/>
          <w:szCs w:val="28"/>
          <w:lang w:val="en-US" w:eastAsia="zh-CN"/>
        </w:rPr>
        <w:t>为</w:t>
      </w:r>
      <w:r>
        <w:rPr>
          <w:rFonts w:hint="eastAsia" w:ascii="宋体" w:hAnsi="宋体" w:eastAsia="宋体" w:cs="宋体"/>
          <w:color w:val="auto"/>
          <w:kern w:val="2"/>
          <w:sz w:val="28"/>
          <w:szCs w:val="28"/>
        </w:rPr>
        <w:t>非基建项目，其中</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一般公共服务支出总计</w:t>
      </w:r>
      <w:r>
        <w:rPr>
          <w:rFonts w:hint="eastAsia" w:ascii="宋体" w:hAnsi="宋体" w:cs="宋体"/>
          <w:color w:val="auto"/>
          <w:kern w:val="2"/>
          <w:sz w:val="28"/>
          <w:szCs w:val="28"/>
          <w:lang w:val="en-US" w:eastAsia="zh-CN"/>
        </w:rPr>
        <w:t>839.39</w:t>
      </w:r>
      <w:r>
        <w:rPr>
          <w:rFonts w:hint="eastAsia" w:ascii="宋体" w:hAnsi="宋体" w:eastAsia="宋体" w:cs="宋体"/>
          <w:color w:val="auto"/>
          <w:kern w:val="2"/>
          <w:sz w:val="28"/>
          <w:szCs w:val="28"/>
        </w:rPr>
        <w:t>万元，包括委员视察</w:t>
      </w:r>
      <w:r>
        <w:rPr>
          <w:rFonts w:hint="eastAsia" w:ascii="宋体" w:hAnsi="宋体" w:eastAsia="宋体" w:cs="宋体"/>
          <w:color w:val="auto"/>
          <w:kern w:val="2"/>
          <w:sz w:val="28"/>
          <w:szCs w:val="28"/>
          <w:lang w:val="en-US" w:eastAsia="zh-CN"/>
        </w:rPr>
        <w:t>支出</w:t>
      </w:r>
      <w:r>
        <w:rPr>
          <w:rFonts w:hint="eastAsia" w:ascii="宋体" w:hAnsi="宋体" w:cs="宋体"/>
          <w:color w:val="auto"/>
          <w:kern w:val="2"/>
          <w:sz w:val="28"/>
          <w:szCs w:val="28"/>
          <w:lang w:val="en-US" w:eastAsia="zh-CN"/>
        </w:rPr>
        <w:t>196.77</w:t>
      </w:r>
      <w:r>
        <w:rPr>
          <w:rFonts w:hint="eastAsia" w:ascii="宋体" w:hAnsi="宋体" w:eastAsia="宋体" w:cs="宋体"/>
          <w:color w:val="auto"/>
          <w:kern w:val="2"/>
          <w:sz w:val="28"/>
          <w:szCs w:val="28"/>
        </w:rPr>
        <w:t>万元，政协</w:t>
      </w:r>
      <w:r>
        <w:rPr>
          <w:rFonts w:hint="eastAsia" w:ascii="宋体" w:hAnsi="宋体" w:eastAsia="宋体" w:cs="宋体"/>
          <w:color w:val="auto"/>
          <w:kern w:val="2"/>
          <w:sz w:val="28"/>
          <w:szCs w:val="28"/>
          <w:lang w:val="en-US" w:eastAsia="zh-CN"/>
        </w:rPr>
        <w:t>事务</w:t>
      </w:r>
      <w:r>
        <w:rPr>
          <w:rFonts w:hint="eastAsia" w:ascii="宋体" w:hAnsi="宋体" w:cs="宋体"/>
          <w:color w:val="auto"/>
          <w:kern w:val="2"/>
          <w:sz w:val="28"/>
          <w:szCs w:val="28"/>
          <w:lang w:val="en-US" w:eastAsia="zh-CN"/>
        </w:rPr>
        <w:t>318.86</w:t>
      </w:r>
      <w:r>
        <w:rPr>
          <w:rFonts w:hint="eastAsia" w:ascii="宋体" w:hAnsi="宋体" w:eastAsia="宋体" w:cs="宋体"/>
          <w:color w:val="auto"/>
          <w:kern w:val="2"/>
          <w:sz w:val="28"/>
          <w:szCs w:val="28"/>
        </w:rPr>
        <w:t>万元，</w:t>
      </w:r>
      <w:r>
        <w:rPr>
          <w:rFonts w:hint="eastAsia" w:ascii="宋体" w:hAnsi="宋体" w:cs="宋体"/>
          <w:color w:val="auto"/>
          <w:kern w:val="2"/>
          <w:sz w:val="28"/>
          <w:szCs w:val="28"/>
          <w:lang w:val="en-US" w:eastAsia="zh-CN"/>
        </w:rPr>
        <w:t>一般行政管理</w:t>
      </w:r>
      <w:r>
        <w:rPr>
          <w:rFonts w:hint="eastAsia" w:ascii="宋体" w:hAnsi="宋体" w:eastAsia="宋体" w:cs="宋体"/>
          <w:color w:val="auto"/>
          <w:kern w:val="2"/>
          <w:sz w:val="28"/>
          <w:szCs w:val="28"/>
          <w:lang w:val="en-US" w:eastAsia="zh-CN"/>
        </w:rPr>
        <w:t>事务支出</w:t>
      </w:r>
      <w:r>
        <w:rPr>
          <w:rFonts w:hint="eastAsia" w:ascii="宋体" w:hAnsi="宋体" w:cs="宋体"/>
          <w:color w:val="auto"/>
          <w:kern w:val="2"/>
          <w:sz w:val="28"/>
          <w:szCs w:val="28"/>
          <w:lang w:val="en-US" w:eastAsia="zh-CN"/>
        </w:rPr>
        <w:t>34.30</w:t>
      </w:r>
      <w:r>
        <w:rPr>
          <w:rFonts w:hint="eastAsia" w:ascii="宋体" w:hAnsi="宋体" w:eastAsia="宋体" w:cs="宋体"/>
          <w:color w:val="auto"/>
          <w:kern w:val="2"/>
          <w:sz w:val="28"/>
          <w:szCs w:val="28"/>
          <w:lang w:val="en-US" w:eastAsia="zh-CN"/>
        </w:rPr>
        <w:t>万元</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2</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行政事业单位养老支出</w:t>
      </w:r>
      <w:r>
        <w:rPr>
          <w:rFonts w:hint="eastAsia" w:ascii="宋体" w:hAnsi="宋体" w:cs="宋体"/>
          <w:color w:val="auto"/>
          <w:kern w:val="2"/>
          <w:sz w:val="28"/>
          <w:szCs w:val="28"/>
          <w:lang w:val="en-US" w:eastAsia="zh-CN"/>
        </w:rPr>
        <w:t>170.96</w:t>
      </w:r>
      <w:r>
        <w:rPr>
          <w:rFonts w:hint="eastAsia" w:ascii="宋体" w:hAnsi="宋体" w:eastAsia="宋体" w:cs="宋体"/>
          <w:color w:val="auto"/>
          <w:kern w:val="2"/>
          <w:sz w:val="28"/>
          <w:szCs w:val="28"/>
        </w:rPr>
        <w:t>万元</w:t>
      </w:r>
      <w:r>
        <w:rPr>
          <w:rFonts w:hint="eastAsia" w:ascii="宋体" w:hAnsi="宋体" w:eastAsia="宋体" w:cs="宋体"/>
          <w:color w:val="auto"/>
          <w:kern w:val="2"/>
          <w:sz w:val="28"/>
          <w:szCs w:val="28"/>
          <w:lang w:eastAsia="zh-CN"/>
        </w:rPr>
        <w:t>；</w:t>
      </w:r>
      <w:r>
        <w:rPr>
          <w:rFonts w:hint="eastAsia" w:ascii="宋体" w:hAnsi="宋体" w:cs="宋体"/>
          <w:color w:val="auto"/>
          <w:kern w:val="2"/>
          <w:sz w:val="28"/>
          <w:szCs w:val="28"/>
          <w:lang w:eastAsia="zh-CN"/>
        </w:rPr>
        <w:t>（</w:t>
      </w:r>
      <w:r>
        <w:rPr>
          <w:rFonts w:hint="eastAsia" w:ascii="宋体" w:hAnsi="宋体" w:cs="宋体"/>
          <w:color w:val="auto"/>
          <w:kern w:val="2"/>
          <w:sz w:val="28"/>
          <w:szCs w:val="28"/>
          <w:lang w:val="en-US" w:eastAsia="zh-CN"/>
        </w:rPr>
        <w:t>3</w:t>
      </w:r>
      <w:r>
        <w:rPr>
          <w:rFonts w:hint="eastAsia" w:ascii="宋体" w:hAnsi="宋体" w:cs="宋体"/>
          <w:color w:val="auto"/>
          <w:kern w:val="2"/>
          <w:sz w:val="28"/>
          <w:szCs w:val="28"/>
          <w:lang w:eastAsia="zh-CN"/>
        </w:rPr>
        <w:t>）</w:t>
      </w:r>
      <w:r>
        <w:rPr>
          <w:rFonts w:hint="eastAsia" w:ascii="宋体" w:hAnsi="宋体" w:cs="宋体"/>
          <w:color w:val="auto"/>
          <w:kern w:val="2"/>
          <w:sz w:val="28"/>
          <w:szCs w:val="28"/>
          <w:lang w:val="en-US" w:eastAsia="zh-CN"/>
        </w:rPr>
        <w:t>医疗补助支出5.5万元；（4）抚恤支出18.22万元；（5）巩固脱贫衔接乡村振兴60万元；</w:t>
      </w:r>
      <w:r>
        <w:rPr>
          <w:rFonts w:hint="eastAsia" w:ascii="宋体" w:hAnsi="宋体" w:eastAsia="宋体" w:cs="宋体"/>
          <w:color w:val="auto"/>
          <w:kern w:val="2"/>
          <w:sz w:val="28"/>
          <w:szCs w:val="28"/>
          <w:lang w:eastAsia="zh-CN"/>
        </w:rPr>
        <w:t>（</w:t>
      </w:r>
      <w:r>
        <w:rPr>
          <w:rFonts w:hint="eastAsia" w:ascii="宋体" w:hAnsi="宋体" w:cs="宋体"/>
          <w:color w:val="auto"/>
          <w:kern w:val="2"/>
          <w:sz w:val="28"/>
          <w:szCs w:val="28"/>
          <w:lang w:val="en-US" w:eastAsia="zh-CN"/>
        </w:rPr>
        <w:t>6</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其他支出</w:t>
      </w:r>
      <w:r>
        <w:rPr>
          <w:rFonts w:hint="eastAsia" w:ascii="宋体" w:hAnsi="宋体" w:cs="宋体"/>
          <w:color w:val="auto"/>
          <w:kern w:val="2"/>
          <w:sz w:val="28"/>
          <w:szCs w:val="28"/>
          <w:lang w:val="en-US" w:eastAsia="zh-CN"/>
        </w:rPr>
        <w:t>64.77</w:t>
      </w:r>
      <w:r>
        <w:rPr>
          <w:rFonts w:hint="eastAsia" w:ascii="宋体" w:hAnsi="宋体" w:eastAsia="宋体" w:cs="宋体"/>
          <w:color w:val="auto"/>
          <w:kern w:val="2"/>
          <w:sz w:val="28"/>
          <w:szCs w:val="28"/>
          <w:lang w:val="en-US" w:eastAsia="zh-CN"/>
        </w:rPr>
        <w:t>万元。</w:t>
      </w:r>
      <w:r>
        <w:rPr>
          <w:rFonts w:hint="eastAsia" w:ascii="宋体" w:hAnsi="宋体" w:eastAsia="宋体" w:cs="宋体"/>
          <w:color w:val="auto"/>
          <w:kern w:val="2"/>
          <w:sz w:val="28"/>
          <w:szCs w:val="28"/>
        </w:rPr>
        <w:t>项目支出明细如下：</w:t>
      </w:r>
    </w:p>
    <w:tbl>
      <w:tblPr>
        <w:tblStyle w:val="9"/>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268"/>
        <w:gridCol w:w="1985"/>
        <w:gridCol w:w="198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317" w:leftChars="-151" w:right="0" w:firstLine="251" w:firstLineChars="119"/>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项</w:t>
            </w:r>
            <w:r>
              <w:rPr>
                <w:rFonts w:hint="eastAsia" w:ascii="宋体" w:hAnsi="宋体" w:eastAsia="宋体" w:cs="宋体"/>
                <w:b/>
                <w:color w:val="auto"/>
                <w:sz w:val="21"/>
                <w:szCs w:val="21"/>
                <w:lang w:val="en-US" w:eastAsia="zh-CN" w:bidi="ar"/>
              </w:rPr>
              <w:t xml:space="preserve"> </w:t>
            </w:r>
            <w:r>
              <w:rPr>
                <w:rFonts w:hint="eastAsia" w:ascii="宋体" w:hAnsi="宋体" w:eastAsia="宋体" w:cs="宋体"/>
                <w:b/>
                <w:color w:val="auto"/>
                <w:sz w:val="21"/>
                <w:szCs w:val="21"/>
                <w:lang w:bidi="ar"/>
              </w:rPr>
              <w:t>目</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20</w:t>
            </w:r>
            <w:r>
              <w:rPr>
                <w:rFonts w:hint="eastAsia" w:ascii="宋体" w:hAnsi="宋体" w:eastAsia="宋体" w:cs="宋体"/>
                <w:b/>
                <w:color w:val="auto"/>
                <w:sz w:val="21"/>
                <w:szCs w:val="21"/>
                <w:lang w:val="en-US" w:eastAsia="zh-CN" w:bidi="ar"/>
              </w:rPr>
              <w:t>21</w:t>
            </w:r>
            <w:r>
              <w:rPr>
                <w:rFonts w:hint="eastAsia" w:ascii="宋体" w:hAnsi="宋体" w:eastAsia="宋体" w:cs="宋体"/>
                <w:b/>
                <w:color w:val="auto"/>
                <w:sz w:val="21"/>
                <w:szCs w:val="21"/>
                <w:lang w:bidi="ar"/>
              </w:rPr>
              <w:t>年项目支出（万元）</w:t>
            </w:r>
          </w:p>
        </w:tc>
        <w:tc>
          <w:tcPr>
            <w:tcW w:w="198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20</w:t>
            </w:r>
            <w:r>
              <w:rPr>
                <w:rFonts w:hint="eastAsia" w:ascii="宋体" w:hAnsi="宋体" w:eastAsia="宋体" w:cs="宋体"/>
                <w:b/>
                <w:color w:val="auto"/>
                <w:sz w:val="21"/>
                <w:szCs w:val="21"/>
                <w:lang w:val="en-US" w:eastAsia="zh-CN" w:bidi="ar"/>
              </w:rPr>
              <w:t>2</w:t>
            </w:r>
            <w:r>
              <w:rPr>
                <w:rFonts w:hint="eastAsia" w:ascii="宋体" w:hAnsi="宋体" w:cs="宋体"/>
                <w:b/>
                <w:color w:val="auto"/>
                <w:sz w:val="21"/>
                <w:szCs w:val="21"/>
                <w:lang w:val="en-US" w:eastAsia="zh-CN" w:bidi="ar"/>
              </w:rPr>
              <w:t>2</w:t>
            </w:r>
            <w:r>
              <w:rPr>
                <w:rFonts w:hint="eastAsia" w:ascii="宋体" w:hAnsi="宋体" w:eastAsia="宋体" w:cs="宋体"/>
                <w:b/>
                <w:color w:val="auto"/>
                <w:sz w:val="21"/>
                <w:szCs w:val="21"/>
                <w:lang w:bidi="ar"/>
              </w:rPr>
              <w:t>年项目支出</w:t>
            </w:r>
          </w:p>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（万元）</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增减额</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工资福利支出</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125.91</w:t>
            </w:r>
          </w:p>
        </w:tc>
        <w:tc>
          <w:tcPr>
            <w:tcW w:w="198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349.16</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商品服务支出</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711.93</w:t>
            </w:r>
          </w:p>
        </w:tc>
        <w:tc>
          <w:tcPr>
            <w:tcW w:w="198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471.90</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对个人和家庭的补助</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8.16</w:t>
            </w:r>
          </w:p>
        </w:tc>
        <w:tc>
          <w:tcPr>
            <w:tcW w:w="198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257.24</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249.08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资本性支出</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24.70</w:t>
            </w:r>
          </w:p>
        </w:tc>
        <w:tc>
          <w:tcPr>
            <w:tcW w:w="198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80.55</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68"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合    计</w:t>
            </w:r>
          </w:p>
        </w:tc>
        <w:tc>
          <w:tcPr>
            <w:tcW w:w="1985"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870.71</w:t>
            </w:r>
          </w:p>
        </w:tc>
        <w:tc>
          <w:tcPr>
            <w:tcW w:w="198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1158.85</w:t>
            </w:r>
          </w:p>
        </w:tc>
        <w:tc>
          <w:tcPr>
            <w:tcW w:w="1801"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288.14</w:t>
            </w:r>
          </w:p>
        </w:tc>
      </w:tr>
    </w:tbl>
    <w:p>
      <w:pPr>
        <w:pStyle w:val="15"/>
        <w:keepNext w:val="0"/>
        <w:keepLines w:val="0"/>
        <w:pageBreakBefore w:val="0"/>
        <w:widowControl/>
        <w:kinsoku/>
        <w:wordWrap/>
        <w:overflowPunct/>
        <w:topLinePunct w:val="0"/>
        <w:autoSpaceDE/>
        <w:autoSpaceDN/>
        <w:bidi w:val="0"/>
        <w:adjustRightInd/>
        <w:snapToGrid/>
        <w:spacing w:before="185" w:beforeLines="50" w:after="185" w:afterLines="50" w:line="540" w:lineRule="exact"/>
        <w:ind w:firstLine="6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）“三公”经费管理使用情况</w:t>
      </w:r>
    </w:p>
    <w:p>
      <w:pPr>
        <w:spacing w:line="54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本部门</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年“三公”经费支出决算</w:t>
      </w:r>
      <w:r>
        <w:rPr>
          <w:rFonts w:hint="eastAsia" w:ascii="宋体" w:hAnsi="宋体" w:cs="宋体"/>
          <w:color w:val="auto"/>
          <w:sz w:val="28"/>
          <w:szCs w:val="28"/>
          <w:lang w:val="en-US" w:eastAsia="zh-CN"/>
        </w:rPr>
        <w:t>102.99万元</w:t>
      </w:r>
      <w:r>
        <w:rPr>
          <w:rFonts w:hint="eastAsia" w:ascii="宋体" w:hAnsi="宋体" w:eastAsia="宋体" w:cs="宋体"/>
          <w:color w:val="auto"/>
          <w:sz w:val="28"/>
          <w:szCs w:val="28"/>
        </w:rPr>
        <w:t>，</w:t>
      </w:r>
      <w:bookmarkStart w:id="4" w:name="_Hlk40303962"/>
      <w:r>
        <w:rPr>
          <w:rFonts w:hint="eastAsia" w:ascii="宋体" w:hAnsi="宋体" w:eastAsia="宋体" w:cs="宋体"/>
          <w:color w:val="auto"/>
          <w:sz w:val="28"/>
          <w:szCs w:val="28"/>
        </w:rPr>
        <w:t>较20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w:t>
      </w:r>
      <w:bookmarkEnd w:id="4"/>
      <w:r>
        <w:rPr>
          <w:rFonts w:hint="eastAsia" w:ascii="宋体" w:hAnsi="宋体" w:eastAsia="宋体" w:cs="宋体"/>
          <w:color w:val="auto"/>
          <w:sz w:val="28"/>
          <w:szCs w:val="28"/>
          <w:lang w:val="en-US" w:eastAsia="zh-CN"/>
        </w:rPr>
        <w:t>增加</w:t>
      </w:r>
      <w:r>
        <w:rPr>
          <w:rFonts w:hint="eastAsia" w:ascii="宋体" w:hAnsi="宋体" w:cs="宋体"/>
          <w:color w:val="auto"/>
          <w:sz w:val="28"/>
          <w:szCs w:val="28"/>
          <w:lang w:val="en-US" w:eastAsia="zh-CN"/>
        </w:rPr>
        <w:t>28.07</w:t>
      </w:r>
      <w:r>
        <w:rPr>
          <w:rFonts w:hint="eastAsia" w:ascii="宋体" w:hAnsi="宋体" w:eastAsia="宋体" w:cs="宋体"/>
          <w:color w:val="auto"/>
          <w:sz w:val="28"/>
          <w:szCs w:val="28"/>
        </w:rPr>
        <w:t>万元。</w:t>
      </w:r>
    </w:p>
    <w:p>
      <w:pPr>
        <w:spacing w:line="5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“三公”经费使用情况对比表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3119"/>
        <w:gridCol w:w="1863"/>
        <w:gridCol w:w="181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317" w:leftChars="-151" w:right="0" w:firstLine="251" w:firstLineChars="119"/>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项</w:t>
            </w:r>
            <w:r>
              <w:rPr>
                <w:rFonts w:hint="eastAsia" w:ascii="宋体" w:hAnsi="宋体" w:eastAsia="宋体" w:cs="宋体"/>
                <w:b/>
                <w:color w:val="auto"/>
                <w:sz w:val="21"/>
                <w:szCs w:val="21"/>
                <w:lang w:val="en-US" w:eastAsia="zh-CN" w:bidi="ar"/>
              </w:rPr>
              <w:t xml:space="preserve">  </w:t>
            </w:r>
            <w:r>
              <w:rPr>
                <w:rFonts w:hint="eastAsia" w:ascii="宋体" w:hAnsi="宋体" w:eastAsia="宋体" w:cs="宋体"/>
                <w:b/>
                <w:color w:val="auto"/>
                <w:sz w:val="21"/>
                <w:szCs w:val="21"/>
                <w:lang w:bidi="ar"/>
              </w:rPr>
              <w:t>目</w:t>
            </w:r>
          </w:p>
        </w:tc>
        <w:tc>
          <w:tcPr>
            <w:tcW w:w="1863"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20</w:t>
            </w:r>
            <w:r>
              <w:rPr>
                <w:rFonts w:hint="eastAsia" w:ascii="宋体" w:hAnsi="宋体" w:eastAsia="宋体" w:cs="宋体"/>
                <w:b/>
                <w:color w:val="auto"/>
                <w:sz w:val="21"/>
                <w:szCs w:val="21"/>
                <w:lang w:val="en-US" w:eastAsia="zh-CN" w:bidi="ar"/>
              </w:rPr>
              <w:t>21</w:t>
            </w:r>
            <w:r>
              <w:rPr>
                <w:rFonts w:hint="eastAsia" w:ascii="宋体" w:hAnsi="宋体" w:eastAsia="宋体" w:cs="宋体"/>
                <w:b/>
                <w:color w:val="auto"/>
                <w:sz w:val="21"/>
                <w:szCs w:val="21"/>
                <w:lang w:bidi="ar"/>
              </w:rPr>
              <w:t>年支出</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（万元）</w:t>
            </w:r>
          </w:p>
        </w:tc>
        <w:tc>
          <w:tcPr>
            <w:tcW w:w="1815" w:type="dxa"/>
            <w:shd w:val="clear" w:color="auto" w:fill="FFFFFF"/>
            <w:vAlign w:val="top"/>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20</w:t>
            </w:r>
            <w:r>
              <w:rPr>
                <w:rFonts w:hint="eastAsia" w:ascii="宋体" w:hAnsi="宋体" w:eastAsia="宋体" w:cs="宋体"/>
                <w:b/>
                <w:color w:val="auto"/>
                <w:sz w:val="21"/>
                <w:szCs w:val="21"/>
                <w:lang w:val="en-US" w:eastAsia="zh-CN" w:bidi="ar"/>
              </w:rPr>
              <w:t>2</w:t>
            </w:r>
            <w:r>
              <w:rPr>
                <w:rFonts w:hint="eastAsia" w:ascii="宋体" w:hAnsi="宋体" w:cs="宋体"/>
                <w:b/>
                <w:color w:val="auto"/>
                <w:sz w:val="21"/>
                <w:szCs w:val="21"/>
                <w:lang w:val="en-US" w:eastAsia="zh-CN" w:bidi="ar"/>
              </w:rPr>
              <w:t>2</w:t>
            </w:r>
            <w:r>
              <w:rPr>
                <w:rFonts w:hint="eastAsia" w:ascii="宋体" w:hAnsi="宋体" w:eastAsia="宋体" w:cs="宋体"/>
                <w:b/>
                <w:color w:val="auto"/>
                <w:sz w:val="21"/>
                <w:szCs w:val="21"/>
                <w:lang w:bidi="ar"/>
              </w:rPr>
              <w:t>年支出</w:t>
            </w:r>
          </w:p>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（万元）</w:t>
            </w:r>
          </w:p>
        </w:tc>
        <w:tc>
          <w:tcPr>
            <w:tcW w:w="1425"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公务接待费</w:t>
            </w:r>
          </w:p>
        </w:tc>
        <w:tc>
          <w:tcPr>
            <w:tcW w:w="1863"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8.44</w:t>
            </w:r>
          </w:p>
        </w:tc>
        <w:tc>
          <w:tcPr>
            <w:tcW w:w="1815"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3.46</w:t>
            </w:r>
          </w:p>
        </w:tc>
        <w:tc>
          <w:tcPr>
            <w:tcW w:w="1425"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公务用车购置费</w:t>
            </w:r>
          </w:p>
        </w:tc>
        <w:tc>
          <w:tcPr>
            <w:tcW w:w="1863"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Cs/>
                <w:color w:val="auto"/>
                <w:sz w:val="21"/>
                <w:szCs w:val="21"/>
                <w:lang w:val="en-US" w:eastAsia="zh-CN" w:bidi="ar"/>
              </w:rPr>
            </w:pPr>
            <w:r>
              <w:rPr>
                <w:rFonts w:hint="eastAsia" w:ascii="宋体" w:hAnsi="宋体" w:cs="宋体"/>
                <w:bCs/>
                <w:color w:val="auto"/>
                <w:sz w:val="21"/>
                <w:szCs w:val="21"/>
                <w:lang w:val="en-US" w:eastAsia="zh-CN" w:bidi="ar"/>
              </w:rPr>
              <w:t>0</w:t>
            </w:r>
          </w:p>
        </w:tc>
        <w:tc>
          <w:tcPr>
            <w:tcW w:w="1815"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52.36</w:t>
            </w:r>
          </w:p>
        </w:tc>
        <w:tc>
          <w:tcPr>
            <w:tcW w:w="1425"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rPr>
                <w:rFonts w:hint="eastAsia" w:ascii="宋体" w:hAnsi="宋体" w:eastAsia="宋体" w:cs="宋体"/>
                <w:bCs/>
                <w:color w:val="auto"/>
                <w:sz w:val="21"/>
                <w:szCs w:val="21"/>
              </w:rPr>
            </w:pPr>
            <w:r>
              <w:rPr>
                <w:rFonts w:hint="eastAsia" w:ascii="宋体" w:hAnsi="宋体" w:eastAsia="宋体" w:cs="宋体"/>
                <w:color w:val="auto"/>
                <w:sz w:val="21"/>
                <w:szCs w:val="21"/>
              </w:rPr>
              <w:t>公务用车运行维护费</w:t>
            </w:r>
          </w:p>
        </w:tc>
        <w:tc>
          <w:tcPr>
            <w:tcW w:w="1863" w:type="dxa"/>
            <w:shd w:val="clear" w:color="auto" w:fill="FFFFFF"/>
            <w:tcMar>
              <w:left w:w="108" w:type="dxa"/>
              <w:right w:w="108" w:type="dxa"/>
            </w:tcMar>
            <w:vAlign w:val="top"/>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Cs/>
                <w:color w:val="auto"/>
                <w:sz w:val="21"/>
                <w:szCs w:val="21"/>
                <w:lang w:eastAsia="zh-CN" w:bidi="ar"/>
              </w:rPr>
            </w:pPr>
            <w:r>
              <w:rPr>
                <w:rFonts w:hint="eastAsia" w:ascii="宋体" w:hAnsi="宋体" w:eastAsia="宋体" w:cs="宋体"/>
                <w:bCs/>
                <w:color w:val="auto"/>
                <w:sz w:val="21"/>
                <w:szCs w:val="21"/>
                <w:lang w:val="en-US" w:eastAsia="zh-CN" w:bidi="ar"/>
              </w:rPr>
              <w:t>66.48</w:t>
            </w:r>
          </w:p>
        </w:tc>
        <w:tc>
          <w:tcPr>
            <w:tcW w:w="1815"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47.16</w:t>
            </w:r>
          </w:p>
        </w:tc>
        <w:tc>
          <w:tcPr>
            <w:tcW w:w="1425"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p>
        </w:tc>
        <w:tc>
          <w:tcPr>
            <w:tcW w:w="3119"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rPr>
                <w:rFonts w:hint="eastAsia" w:ascii="宋体" w:hAnsi="宋体" w:eastAsia="宋体" w:cs="宋体"/>
                <w:bCs/>
                <w:color w:val="auto"/>
                <w:sz w:val="21"/>
                <w:szCs w:val="21"/>
              </w:rPr>
            </w:pPr>
            <w:r>
              <w:rPr>
                <w:rFonts w:hint="eastAsia" w:ascii="宋体" w:hAnsi="宋体" w:eastAsia="宋体" w:cs="宋体"/>
                <w:bCs/>
                <w:color w:val="auto"/>
                <w:sz w:val="21"/>
                <w:szCs w:val="21"/>
              </w:rPr>
              <w:t>因公出国（境）费</w:t>
            </w:r>
          </w:p>
        </w:tc>
        <w:tc>
          <w:tcPr>
            <w:tcW w:w="1863" w:type="dxa"/>
            <w:shd w:val="clear" w:color="auto" w:fill="FFFFFF"/>
            <w:tcMar>
              <w:left w:w="108" w:type="dxa"/>
              <w:right w:w="108" w:type="dxa"/>
            </w:tcMar>
            <w:vAlign w:val="top"/>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0</w:t>
            </w:r>
          </w:p>
        </w:tc>
        <w:tc>
          <w:tcPr>
            <w:tcW w:w="1815"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0</w:t>
            </w:r>
          </w:p>
        </w:tc>
        <w:tc>
          <w:tcPr>
            <w:tcW w:w="1425"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5</w:t>
            </w:r>
          </w:p>
        </w:tc>
        <w:tc>
          <w:tcPr>
            <w:tcW w:w="3119"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bidi="ar"/>
              </w:rPr>
              <w:t>合    计</w:t>
            </w:r>
          </w:p>
        </w:tc>
        <w:tc>
          <w:tcPr>
            <w:tcW w:w="1863" w:type="dxa"/>
            <w:shd w:val="clear" w:color="auto" w:fill="FFFFFF"/>
            <w:tcMar>
              <w:left w:w="108" w:type="dxa"/>
              <w:right w:w="108" w:type="dxa"/>
            </w:tcMar>
          </w:tcPr>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b/>
                <w:color w:val="auto"/>
                <w:sz w:val="21"/>
                <w:szCs w:val="21"/>
                <w:lang w:val="en-US" w:eastAsia="zh-CN" w:bidi="ar"/>
              </w:rPr>
            </w:pPr>
            <w:r>
              <w:rPr>
                <w:rFonts w:hint="eastAsia" w:ascii="宋体" w:hAnsi="宋体" w:eastAsia="宋体" w:cs="宋体"/>
                <w:b/>
                <w:color w:val="auto"/>
                <w:sz w:val="21"/>
                <w:szCs w:val="21"/>
                <w:lang w:val="en-US" w:eastAsia="zh-CN" w:bidi="ar"/>
              </w:rPr>
              <w:t>74.92</w:t>
            </w:r>
          </w:p>
        </w:tc>
        <w:tc>
          <w:tcPr>
            <w:tcW w:w="1815" w:type="dxa"/>
            <w:shd w:val="clear" w:color="auto" w:fill="FFFFFF"/>
            <w:vAlign w:val="top"/>
          </w:tcPr>
          <w:p>
            <w:pPr>
              <w:keepNext w:val="0"/>
              <w:keepLines w:val="0"/>
              <w:widowControl/>
              <w:suppressLineNumbers w:val="0"/>
              <w:spacing w:before="0" w:beforeAutospacing="0" w:after="0" w:afterAutospacing="0" w:line="440" w:lineRule="atLeast"/>
              <w:ind w:left="0" w:leftChars="0" w:right="0" w:rightChars="0"/>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102.99</w:t>
            </w:r>
          </w:p>
        </w:tc>
        <w:tc>
          <w:tcPr>
            <w:tcW w:w="1425" w:type="dxa"/>
            <w:shd w:val="clear" w:color="auto" w:fill="FFFFFF"/>
          </w:tcPr>
          <w:p>
            <w:pPr>
              <w:keepNext w:val="0"/>
              <w:keepLines w:val="0"/>
              <w:widowControl/>
              <w:suppressLineNumbers w:val="0"/>
              <w:spacing w:before="0" w:beforeAutospacing="0" w:after="0" w:afterAutospacing="0" w:line="440" w:lineRule="atLeast"/>
              <w:ind w:left="0" w:right="0"/>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28.07</w:t>
            </w:r>
          </w:p>
        </w:tc>
      </w:tr>
    </w:tbl>
    <w:p>
      <w:pPr>
        <w:spacing w:line="540" w:lineRule="exact"/>
        <w:rPr>
          <w:rFonts w:hint="eastAsia" w:ascii="宋体" w:hAnsi="宋体" w:eastAsia="宋体" w:cs="宋体"/>
          <w:color w:val="auto"/>
          <w:sz w:val="28"/>
          <w:szCs w:val="28"/>
          <w:lang w:val="en-US"/>
        </w:rPr>
      </w:pPr>
    </w:p>
    <w:p>
      <w:pPr>
        <w:spacing w:line="54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三、政府性基金预算支出情况</w:t>
      </w:r>
    </w:p>
    <w:p>
      <w:pPr>
        <w:spacing w:line="5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本部门本年</w:t>
      </w:r>
      <w:r>
        <w:rPr>
          <w:rFonts w:hint="eastAsia" w:ascii="宋体" w:hAnsi="宋体" w:eastAsia="宋体" w:cs="宋体"/>
          <w:color w:val="auto"/>
          <w:sz w:val="28"/>
          <w:szCs w:val="28"/>
          <w:lang w:val="en-US" w:eastAsia="zh-CN"/>
        </w:rPr>
        <w:t>无</w:t>
      </w:r>
      <w:r>
        <w:rPr>
          <w:rFonts w:hint="eastAsia" w:ascii="宋体" w:hAnsi="宋体" w:eastAsia="宋体" w:cs="宋体"/>
          <w:color w:val="auto"/>
          <w:sz w:val="28"/>
          <w:szCs w:val="28"/>
        </w:rPr>
        <w:t>政府性基金预算支出。</w:t>
      </w:r>
    </w:p>
    <w:p>
      <w:pPr>
        <w:pStyle w:val="15"/>
        <w:widowControl/>
        <w:spacing w:line="540" w:lineRule="exact"/>
        <w:ind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四、国有资本经营预算支出情况</w:t>
      </w:r>
    </w:p>
    <w:p>
      <w:pPr>
        <w:keepNext w:val="0"/>
        <w:keepLines w:val="0"/>
        <w:pageBreakBefore w:val="0"/>
        <w:widowControl/>
        <w:kinsoku/>
        <w:wordWrap/>
        <w:overflowPunct/>
        <w:topLinePunct w:val="0"/>
        <w:autoSpaceDE/>
        <w:autoSpaceDN/>
        <w:bidi w:val="0"/>
        <w:adjustRightInd/>
        <w:snapToGrid/>
        <w:spacing w:before="185" w:beforeLines="50" w:after="0"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本部门本年</w:t>
      </w:r>
      <w:r>
        <w:rPr>
          <w:rFonts w:hint="eastAsia" w:ascii="宋体" w:hAnsi="宋体" w:eastAsia="宋体" w:cs="宋体"/>
          <w:color w:val="auto"/>
          <w:sz w:val="28"/>
          <w:szCs w:val="28"/>
          <w:lang w:val="en-US" w:eastAsia="zh-CN"/>
        </w:rPr>
        <w:t>无</w:t>
      </w:r>
      <w:r>
        <w:rPr>
          <w:rFonts w:hint="eastAsia" w:ascii="宋体" w:hAnsi="宋体" w:eastAsia="宋体" w:cs="宋体"/>
          <w:color w:val="auto"/>
          <w:sz w:val="28"/>
          <w:szCs w:val="28"/>
        </w:rPr>
        <w:t>国有资本经营预算支出。</w:t>
      </w:r>
    </w:p>
    <w:p>
      <w:pPr>
        <w:pStyle w:val="15"/>
        <w:widowControl/>
        <w:numPr>
          <w:ilvl w:val="0"/>
          <w:numId w:val="3"/>
        </w:numPr>
        <w:spacing w:line="540" w:lineRule="exact"/>
        <w:ind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社会保险基金预算支出情况</w:t>
      </w:r>
    </w:p>
    <w:p>
      <w:pPr>
        <w:keepNext w:val="0"/>
        <w:keepLines w:val="0"/>
        <w:pageBreakBefore w:val="0"/>
        <w:widowControl/>
        <w:kinsoku/>
        <w:wordWrap/>
        <w:overflowPunct/>
        <w:topLinePunct w:val="0"/>
        <w:autoSpaceDE/>
        <w:autoSpaceDN/>
        <w:bidi w:val="0"/>
        <w:adjustRightInd/>
        <w:snapToGrid/>
        <w:spacing w:before="185" w:beforeLines="50" w:after="0" w:line="54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本部门本年无社会保险基金预算支出。</w:t>
      </w:r>
    </w:p>
    <w:p>
      <w:pPr>
        <w:numPr>
          <w:ilvl w:val="0"/>
          <w:numId w:val="3"/>
        </w:numPr>
        <w:spacing w:before="183" w:beforeLines="50" w:line="540" w:lineRule="exact"/>
        <w:ind w:left="0" w:leftChars="0"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部门整体绩效</w:t>
      </w:r>
      <w:r>
        <w:rPr>
          <w:rFonts w:hint="eastAsia" w:ascii="宋体" w:hAnsi="宋体" w:eastAsia="宋体" w:cs="宋体"/>
          <w:b/>
          <w:bCs/>
          <w:color w:val="auto"/>
          <w:sz w:val="28"/>
          <w:szCs w:val="28"/>
          <w:lang w:val="en-US" w:eastAsia="zh-CN"/>
        </w:rPr>
        <w:t>目标</w:t>
      </w:r>
      <w:r>
        <w:rPr>
          <w:rFonts w:hint="eastAsia" w:ascii="宋体" w:hAnsi="宋体" w:eastAsia="宋体" w:cs="宋体"/>
          <w:b/>
          <w:bCs/>
          <w:color w:val="auto"/>
          <w:sz w:val="28"/>
          <w:szCs w:val="28"/>
        </w:rPr>
        <w:t>情况</w:t>
      </w:r>
    </w:p>
    <w:p>
      <w:pPr>
        <w:spacing w:line="540" w:lineRule="exact"/>
        <w:ind w:firstLine="560" w:firstLineChars="2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202</w:t>
      </w:r>
      <w:r>
        <w:rPr>
          <w:rFonts w:hint="eastAsia" w:ascii="宋体" w:hAnsi="宋体" w:cs="宋体"/>
          <w:b w:val="0"/>
          <w:bCs w:val="0"/>
          <w:color w:val="auto"/>
          <w:sz w:val="28"/>
          <w:szCs w:val="28"/>
          <w:lang w:val="en-US" w:eastAsia="zh-CN"/>
        </w:rPr>
        <w:t>2</w:t>
      </w:r>
      <w:r>
        <w:rPr>
          <w:rFonts w:hint="eastAsia" w:ascii="宋体" w:hAnsi="宋体" w:eastAsia="宋体" w:cs="宋体"/>
          <w:b w:val="0"/>
          <w:bCs w:val="0"/>
          <w:color w:val="auto"/>
          <w:sz w:val="28"/>
          <w:szCs w:val="28"/>
        </w:rPr>
        <w:t>年，州政协在中共湘西州委的坚强领导下，以“迎接二十大，助推新发展”为目标，围绕州委中心工作来谋划政协工作，组织和引导全州各级政协组织、政协各参加单位和广大政协委员，为改革发展稳定增添动力，做到了政协工作与州委中心工作同心同向、同频共振。</w:t>
      </w:r>
    </w:p>
    <w:p>
      <w:pPr>
        <w:spacing w:line="540" w:lineRule="exact"/>
        <w:ind w:firstLine="562" w:firstLineChars="200"/>
        <w:jc w:val="both"/>
        <w:rPr>
          <w:rFonts w:hint="eastAsia" w:ascii="宋体" w:hAnsi="宋体" w:eastAsia="宋体" w:cs="宋体"/>
          <w:b w:val="0"/>
          <w:bCs w:val="0"/>
          <w:color w:val="auto"/>
          <w:sz w:val="28"/>
          <w:szCs w:val="28"/>
        </w:rPr>
      </w:pPr>
      <w:r>
        <w:rPr>
          <w:rFonts w:hint="eastAsia" w:ascii="宋体" w:hAnsi="宋体" w:cs="宋体"/>
          <w:b/>
          <w:bCs/>
          <w:color w:val="auto"/>
          <w:sz w:val="28"/>
          <w:szCs w:val="28"/>
          <w:lang w:val="en-US" w:eastAsia="zh-CN"/>
        </w:rPr>
        <w:t>一是</w:t>
      </w:r>
      <w:r>
        <w:rPr>
          <w:rFonts w:hint="eastAsia" w:ascii="宋体" w:hAnsi="宋体" w:cs="宋体"/>
          <w:b w:val="0"/>
          <w:bCs w:val="0"/>
          <w:color w:val="auto"/>
          <w:sz w:val="28"/>
          <w:szCs w:val="28"/>
          <w:lang w:val="en-US" w:eastAsia="zh-CN"/>
        </w:rPr>
        <w:t>紧紧围绕中共二十大胜利召开，坚持党建引领、思想铸魂，共同思想政治基础更加牢固。以“迎接二十大，助推新发展”为目标，围绕州委中心工作来谋划政协工作，组织和引导全州各级政协组织、政协各参加单位和广大政协委员，为改革发展稳定增添动力，做到了政协工作与州委中心工作同心同向、同频共振。</w:t>
      </w:r>
      <w:r>
        <w:rPr>
          <w:rFonts w:hint="eastAsia" w:ascii="宋体" w:hAnsi="宋体" w:eastAsia="宋体" w:cs="宋体"/>
          <w:b w:val="0"/>
          <w:bCs w:val="0"/>
          <w:color w:val="auto"/>
          <w:sz w:val="28"/>
          <w:szCs w:val="28"/>
        </w:rPr>
        <w:t>以“学习二十大，奋进新征程”为主题，深入学习宣传贯彻中共二十大精神，通过会议集中学、委员培训学、委员工作室宣讲学、委员读书活动交流学、委员组研讨学等方式，全方位、多层次开展学习活动35次，推动了中共二十大精神在政协学深悟透。</w:t>
      </w:r>
    </w:p>
    <w:p>
      <w:pPr>
        <w:spacing w:line="540" w:lineRule="exact"/>
        <w:ind w:firstLine="562" w:firstLineChars="200"/>
        <w:jc w:val="both"/>
        <w:rPr>
          <w:rFonts w:hint="eastAsia" w:ascii="宋体" w:hAnsi="宋体" w:cs="宋体"/>
          <w:b w:val="0"/>
          <w:bCs w:val="0"/>
          <w:color w:val="auto"/>
          <w:sz w:val="28"/>
          <w:szCs w:val="28"/>
          <w:lang w:eastAsia="zh-CN"/>
        </w:rPr>
      </w:pPr>
      <w:r>
        <w:rPr>
          <w:rFonts w:hint="eastAsia" w:ascii="宋体" w:hAnsi="宋体" w:cs="宋体"/>
          <w:b/>
          <w:bCs/>
          <w:color w:val="auto"/>
          <w:sz w:val="28"/>
          <w:szCs w:val="28"/>
          <w:lang w:val="en-US" w:eastAsia="zh-CN"/>
        </w:rPr>
        <w:t>二是</w:t>
      </w:r>
      <w:r>
        <w:rPr>
          <w:rFonts w:hint="default" w:ascii="宋体" w:hAnsi="宋体" w:cs="宋体"/>
          <w:b w:val="0"/>
          <w:bCs w:val="0"/>
          <w:color w:val="auto"/>
          <w:sz w:val="28"/>
          <w:szCs w:val="28"/>
          <w:lang w:val="en-US" w:eastAsia="zh-CN"/>
        </w:rPr>
        <w:t>紧紧围绕打造政协协商品牌，坚持商以求同、协以成事，专门协商机构建设更加深入</w:t>
      </w:r>
      <w:r>
        <w:rPr>
          <w:rFonts w:hint="eastAsia" w:ascii="宋体" w:hAnsi="宋体" w:cs="宋体"/>
          <w:b w:val="0"/>
          <w:bCs w:val="0"/>
          <w:color w:val="auto"/>
          <w:sz w:val="28"/>
          <w:szCs w:val="28"/>
          <w:lang w:val="en-US" w:eastAsia="zh-CN"/>
        </w:rPr>
        <w:t>。</w:t>
      </w:r>
      <w:r>
        <w:rPr>
          <w:rFonts w:hint="eastAsia" w:ascii="宋体" w:hAnsi="宋体" w:eastAsia="宋体" w:cs="宋体"/>
          <w:b w:val="0"/>
          <w:bCs w:val="0"/>
          <w:color w:val="auto"/>
          <w:sz w:val="28"/>
          <w:szCs w:val="28"/>
        </w:rPr>
        <w:t>紧扣州第十二次党代会、州委经济工作会确定的目标任务和群众关心的热点问题，精选15个重点课题列入年度协商与监督计划</w:t>
      </w:r>
      <w:r>
        <w:rPr>
          <w:rFonts w:hint="eastAsia" w:ascii="宋体" w:hAnsi="宋体" w:cs="宋体"/>
          <w:b w:val="0"/>
          <w:bCs w:val="0"/>
          <w:color w:val="auto"/>
          <w:sz w:val="28"/>
          <w:szCs w:val="28"/>
          <w:lang w:eastAsia="zh-CN"/>
        </w:rPr>
        <w:t>；围绕湘西发展的最大门路——文化旅游业，从不同角度选定“促进文旅融合，助力打造千亿旅游产业高质量发展”、“湘西州历史文化保护与利用”2个常委会议政性课题和“加快推进智慧旅游建设，提升旅游业服务水平”、“加强我州古城古镇古村等历史遗存遗迹保护”2个专委会协商课题；围绕“优化营商环境攻坚年”，确定“‘放管服’改革，优化经济发展环境”作为常委会视察课题；围绕群众关切，遴选9件重点提案作为提案办理协商课题等。全年开展各类协商活动44次，编发《情况反映》27期，完成调研视察报告、建议案31个，一批有价值的建言成果进入州委、州政府决策。组织委员提交提案296件，审查立案242件，其中已解决或采纳建议的占75.20%，纳入计划逐步解决的占17.36%,因条件限制暂不能解决的占7.44%，提案工作从“提得多”向“提得对、办得好”转变。《促进文旅融合助力旅游千亿产业高质量发展调研报告》、《加快智慧旅游建设提升旅游业服务水平调研报告》和《湘西州新能源汽车推广应用情况调研报告》、《全州委员工作室建设运行情况视察报告》分别获2022年度全省政协系统优秀调研报告一、二、三等奖。认真落实重要提案直报州委州政府主要领导签批，重点提案由州委州政府领导领办、州政协督办的工作要求，高质量完成9件重点提案、13件重要提案的办理；推进办理成果、评议结果向社会公开，实现了民主监督、社会监督的有机融合。</w:t>
      </w:r>
    </w:p>
    <w:p>
      <w:pPr>
        <w:spacing w:line="540" w:lineRule="exact"/>
        <w:ind w:firstLine="562" w:firstLineChars="200"/>
        <w:jc w:val="both"/>
        <w:rPr>
          <w:rFonts w:hint="eastAsia" w:ascii="宋体" w:hAnsi="宋体" w:cs="宋体"/>
          <w:b w:val="0"/>
          <w:bCs w:val="0"/>
          <w:color w:val="auto"/>
          <w:sz w:val="28"/>
          <w:szCs w:val="28"/>
          <w:lang w:eastAsia="zh-CN"/>
        </w:rPr>
      </w:pPr>
      <w:r>
        <w:rPr>
          <w:rFonts w:hint="eastAsia" w:ascii="宋体" w:hAnsi="宋体" w:cs="宋体"/>
          <w:b/>
          <w:bCs/>
          <w:color w:val="auto"/>
          <w:sz w:val="28"/>
          <w:szCs w:val="28"/>
          <w:lang w:val="en-US" w:eastAsia="zh-CN"/>
        </w:rPr>
        <w:t>三是</w:t>
      </w:r>
      <w:r>
        <w:rPr>
          <w:rFonts w:hint="eastAsia" w:ascii="宋体" w:hAnsi="宋体" w:cs="宋体"/>
          <w:b w:val="0"/>
          <w:bCs w:val="0"/>
          <w:color w:val="auto"/>
          <w:sz w:val="28"/>
          <w:szCs w:val="28"/>
          <w:lang w:eastAsia="zh-CN"/>
        </w:rPr>
        <w:t>紧紧围绕协商民主开展多层次深度协商互动，广泛凝聚共识，汇聚现代化新湘西建设磅礴力量。持续开展“红军村红色贷，助力乡村振兴”活动，深化与省农信联社湘西办事处、州直相关部门、县市政协、乡镇、村合作社、农户等多方协商对接，首批60个红军村预授信农户、合作社、新型农业经济主体17113户，预授信金额9.61亿元，发放贷款达5.21亿元，利息优惠1364.8万元，打造了多方协商、深度协商品牌，在全省政协履职创新故事大赛中荣获二等奖。政协云开启了“互联网+”时代的委员履职新模式，通过政协云微建议、社情民意、热点关注、委员值班等履职栏目，“永不落幕”的网络履职协商民主新方式正在形成，“年委员、季常委”履职成为历史。全州政协委员通过政协云提交微建议由2021年65人上升到2022年322人。全州各级政协委员提交微建议484条、办结397条，列入全省微建议案例19条，办理满意率达到100 %，满意率、案例入选率全省领先，全国政协提案委在我州召开了微建议工作座谈会给予充分肯定。收集社情民意信息70篇，编发37篇报省政协、4期报州委州政府主要领导签批，《治理耕地抛荒，稳定粮食播种面积“上热下冷”现象突出》等4篇被省政协采用并转交省直相关部门决策参考。</w:t>
      </w:r>
    </w:p>
    <w:p>
      <w:pPr>
        <w:spacing w:line="540" w:lineRule="exact"/>
        <w:ind w:firstLine="562" w:firstLineChars="200"/>
        <w:jc w:val="both"/>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四是</w:t>
      </w:r>
      <w:r>
        <w:rPr>
          <w:rFonts w:hint="eastAsia" w:ascii="宋体" w:hAnsi="宋体" w:cs="宋体"/>
          <w:b w:val="0"/>
          <w:bCs w:val="0"/>
          <w:color w:val="auto"/>
          <w:sz w:val="28"/>
          <w:szCs w:val="28"/>
          <w:lang w:val="en-US" w:eastAsia="zh-CN"/>
        </w:rPr>
        <w:t>紧紧围绕画好最大同心圆，坚持团结和民主两大主题凝心聚力、增进共识，大团结大联合的优势更加凸显。围绕州委重大决策部署和政协履职工作，在各级媒体发布资讯900余条，扩大了政协工作影响力。完成《湘西红色地标》资料征编和《湘村巨变》十八洞村、甘露村资料编撰，出版了《见证·全国政协原常委宋克湘参政议政纪实》文史资料。大力宣传湘西文化，讲好中华文明探源中国故事湘西篇章。加强政协交流，先后接待外地政协来州调研考察29批、300余人次，围绕“湘西州历史文化保护与利用”等课题开展对比研究，他山之石，相互借鉴，宣传湘西、展示成就，树立了良好的外宣形象。</w:t>
      </w:r>
    </w:p>
    <w:p>
      <w:pPr>
        <w:spacing w:line="540" w:lineRule="exact"/>
        <w:ind w:firstLine="562" w:firstLineChars="200"/>
        <w:jc w:val="both"/>
        <w:rPr>
          <w:rFonts w:hint="default"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五是</w:t>
      </w:r>
      <w:r>
        <w:rPr>
          <w:rFonts w:hint="eastAsia" w:ascii="宋体" w:hAnsi="宋体" w:cs="宋体"/>
          <w:b w:val="0"/>
          <w:bCs w:val="0"/>
          <w:color w:val="auto"/>
          <w:sz w:val="28"/>
          <w:szCs w:val="28"/>
          <w:lang w:val="en-US" w:eastAsia="zh-CN"/>
        </w:rPr>
        <w:t>紧紧围绕全面加强自身建设，坚持解放思想、创先争优，工作作风和履职能力不断提升。积极开展委员学习培训，共举办各类培训37次，参训委员2339人次。组织开展“潇湘新咏”委员读书活动，委员线上发言超2万余条，线下开展活动60余场次，书香政协促进了政协委员的政治素养和履职能力双提升。2022年度评选优秀委员51名、优秀调研报告9篇、优秀提案24件、提案承办先进单位13个。修订完善了主席会议、常委会议等工作规则和财务管理、经费管理、公务出差审批、公务车辆使用等制度，机关制度建设更加完善，工作运行更加规范。完成十一届州委第八轮巡察反馈问题的整改，自觉接受监督，构建“清亲”履职关系，建设清廉政协。</w:t>
      </w:r>
    </w:p>
    <w:p>
      <w:pPr>
        <w:numPr>
          <w:ilvl w:val="0"/>
          <w:numId w:val="0"/>
        </w:numPr>
        <w:spacing w:before="183" w:beforeLines="50" w:after="200" w:line="540" w:lineRule="exac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（三）绩效评价指标情况</w:t>
      </w:r>
    </w:p>
    <w:p>
      <w:pPr>
        <w:spacing w:after="0" w:line="580" w:lineRule="exact"/>
        <w:ind w:left="0" w:leftChars="0" w:firstLine="186" w:firstLineChars="66"/>
        <w:jc w:val="both"/>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1、预算执行率(10分，得9.9分，扣0.1分）</w:t>
      </w:r>
    </w:p>
    <w:p>
      <w:pPr>
        <w:spacing w:line="540" w:lineRule="exact"/>
        <w:ind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202</w:t>
      </w:r>
      <w:r>
        <w:rPr>
          <w:rFonts w:hint="eastAsia" w:ascii="宋体"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年，本部门收入</w:t>
      </w:r>
      <w:r>
        <w:rPr>
          <w:rFonts w:hint="eastAsia" w:ascii="宋体" w:hAnsi="宋体" w:cs="宋体"/>
          <w:b w:val="0"/>
          <w:bCs w:val="0"/>
          <w:color w:val="auto"/>
          <w:sz w:val="28"/>
          <w:szCs w:val="28"/>
          <w:lang w:val="en-US" w:eastAsia="zh-CN"/>
        </w:rPr>
        <w:t>全年</w:t>
      </w:r>
      <w:r>
        <w:rPr>
          <w:rFonts w:hint="eastAsia" w:ascii="宋体" w:hAnsi="宋体" w:eastAsia="宋体" w:cs="宋体"/>
          <w:b w:val="0"/>
          <w:bCs w:val="0"/>
          <w:color w:val="auto"/>
          <w:sz w:val="28"/>
          <w:szCs w:val="28"/>
          <w:lang w:val="en-US" w:eastAsia="zh-CN"/>
        </w:rPr>
        <w:t>预算</w:t>
      </w:r>
      <w:r>
        <w:rPr>
          <w:rFonts w:hint="eastAsia" w:ascii="宋体" w:hAnsi="宋体" w:cs="宋体"/>
          <w:b w:val="0"/>
          <w:bCs w:val="0"/>
          <w:color w:val="auto"/>
          <w:sz w:val="28"/>
          <w:szCs w:val="28"/>
          <w:lang w:val="en-US" w:eastAsia="zh-CN"/>
        </w:rPr>
        <w:t>3012.84</w:t>
      </w:r>
      <w:r>
        <w:rPr>
          <w:rFonts w:hint="eastAsia" w:ascii="宋体" w:hAnsi="宋体" w:eastAsia="宋体" w:cs="宋体"/>
          <w:b w:val="0"/>
          <w:bCs w:val="0"/>
          <w:color w:val="auto"/>
          <w:sz w:val="28"/>
          <w:szCs w:val="28"/>
          <w:lang w:val="en-US" w:eastAsia="zh-CN"/>
        </w:rPr>
        <w:t>万元，收入决算</w:t>
      </w:r>
      <w:r>
        <w:rPr>
          <w:rFonts w:hint="eastAsia" w:ascii="宋体" w:hAnsi="宋体" w:cs="宋体"/>
          <w:b w:val="0"/>
          <w:bCs w:val="0"/>
          <w:color w:val="auto"/>
          <w:sz w:val="28"/>
          <w:szCs w:val="28"/>
          <w:lang w:val="en-US" w:eastAsia="zh-CN"/>
        </w:rPr>
        <w:t>2993.94</w:t>
      </w:r>
      <w:r>
        <w:rPr>
          <w:rFonts w:hint="eastAsia" w:ascii="宋体" w:hAnsi="宋体" w:eastAsia="宋体" w:cs="宋体"/>
          <w:b w:val="0"/>
          <w:bCs w:val="0"/>
          <w:color w:val="auto"/>
          <w:sz w:val="28"/>
          <w:szCs w:val="28"/>
          <w:lang w:val="en-US" w:eastAsia="zh-CN"/>
        </w:rPr>
        <w:t>万元，支出</w:t>
      </w:r>
      <w:r>
        <w:rPr>
          <w:rFonts w:hint="eastAsia" w:ascii="宋体" w:hAnsi="宋体" w:cs="宋体"/>
          <w:b w:val="0"/>
          <w:bCs w:val="0"/>
          <w:color w:val="auto"/>
          <w:sz w:val="28"/>
          <w:szCs w:val="28"/>
          <w:lang w:val="en-US" w:eastAsia="zh-CN"/>
        </w:rPr>
        <w:t>全年</w:t>
      </w:r>
      <w:r>
        <w:rPr>
          <w:rFonts w:hint="eastAsia" w:ascii="宋体" w:hAnsi="宋体" w:eastAsia="宋体" w:cs="宋体"/>
          <w:b w:val="0"/>
          <w:bCs w:val="0"/>
          <w:color w:val="auto"/>
          <w:sz w:val="28"/>
          <w:szCs w:val="28"/>
          <w:lang w:val="en-US" w:eastAsia="zh-CN"/>
        </w:rPr>
        <w:t>预算</w:t>
      </w:r>
      <w:r>
        <w:rPr>
          <w:rFonts w:hint="eastAsia" w:ascii="宋体" w:hAnsi="宋体" w:cs="宋体"/>
          <w:b w:val="0"/>
          <w:bCs w:val="0"/>
          <w:color w:val="auto"/>
          <w:sz w:val="28"/>
          <w:szCs w:val="28"/>
          <w:lang w:val="en-US" w:eastAsia="zh-CN"/>
        </w:rPr>
        <w:t>3012.84</w:t>
      </w:r>
      <w:r>
        <w:rPr>
          <w:rFonts w:hint="eastAsia" w:ascii="宋体" w:hAnsi="宋体" w:eastAsia="宋体" w:cs="宋体"/>
          <w:b w:val="0"/>
          <w:bCs w:val="0"/>
          <w:color w:val="auto"/>
          <w:sz w:val="28"/>
          <w:szCs w:val="28"/>
          <w:lang w:val="en-US" w:eastAsia="zh-CN"/>
        </w:rPr>
        <w:t>万元，支出决算2993.94万元，预算执行率99</w:t>
      </w:r>
      <w:r>
        <w:rPr>
          <w:rFonts w:hint="eastAsia" w:ascii="宋体" w:hAnsi="宋体" w:cs="宋体"/>
          <w:b w:val="0"/>
          <w:bCs w:val="0"/>
          <w:color w:val="auto"/>
          <w:sz w:val="28"/>
          <w:szCs w:val="28"/>
          <w:lang w:val="en-US" w:eastAsia="zh-CN"/>
        </w:rPr>
        <w:t>.37</w:t>
      </w:r>
      <w:r>
        <w:rPr>
          <w:rFonts w:hint="eastAsia" w:ascii="宋体" w:hAnsi="宋体" w:eastAsia="宋体" w:cs="宋体"/>
          <w:b w:val="0"/>
          <w:bCs w:val="0"/>
          <w:color w:val="auto"/>
          <w:sz w:val="28"/>
          <w:szCs w:val="28"/>
          <w:lang w:val="en-US" w:eastAsia="zh-CN"/>
        </w:rPr>
        <w:t>%。</w:t>
      </w:r>
    </w:p>
    <w:p>
      <w:pPr>
        <w:spacing w:after="0" w:line="580" w:lineRule="exact"/>
        <w:ind w:left="0" w:leftChars="0" w:firstLine="186" w:firstLineChars="66"/>
        <w:jc w:val="both"/>
        <w:outlineLvl w:val="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2、产出指标</w:t>
      </w:r>
      <w:r>
        <w:rPr>
          <w:rFonts w:hint="eastAsia" w:ascii="宋体" w:hAnsi="宋体" w:eastAsia="宋体" w:cs="宋体"/>
          <w:b/>
          <w:bCs w:val="0"/>
          <w:color w:val="auto"/>
          <w:sz w:val="28"/>
          <w:szCs w:val="28"/>
        </w:rPr>
        <w:t>(</w:t>
      </w:r>
      <w:r>
        <w:rPr>
          <w:rFonts w:hint="eastAsia" w:ascii="宋体" w:hAnsi="宋体" w:eastAsia="宋体" w:cs="宋体"/>
          <w:b/>
          <w:bCs w:val="0"/>
          <w:color w:val="auto"/>
          <w:sz w:val="28"/>
          <w:szCs w:val="28"/>
          <w:lang w:val="en-US" w:eastAsia="zh-CN"/>
        </w:rPr>
        <w:t>50</w:t>
      </w:r>
      <w:r>
        <w:rPr>
          <w:rFonts w:hint="eastAsia" w:ascii="宋体" w:hAnsi="宋体" w:eastAsia="宋体" w:cs="宋体"/>
          <w:b/>
          <w:bCs w:val="0"/>
          <w:color w:val="auto"/>
          <w:sz w:val="28"/>
          <w:szCs w:val="28"/>
        </w:rPr>
        <w:t>分</w:t>
      </w:r>
      <w:r>
        <w:rPr>
          <w:rFonts w:hint="eastAsia" w:ascii="宋体" w:hAnsi="宋体" w:eastAsia="宋体" w:cs="宋体"/>
          <w:b/>
          <w:bCs w:val="0"/>
          <w:color w:val="auto"/>
          <w:sz w:val="28"/>
          <w:szCs w:val="28"/>
          <w:lang w:eastAsia="zh-CN"/>
        </w:rPr>
        <w:t>，</w:t>
      </w:r>
      <w:r>
        <w:rPr>
          <w:rFonts w:hint="eastAsia" w:ascii="宋体" w:hAnsi="宋体" w:eastAsia="宋体" w:cs="宋体"/>
          <w:b/>
          <w:bCs w:val="0"/>
          <w:color w:val="auto"/>
          <w:sz w:val="28"/>
          <w:szCs w:val="28"/>
          <w:lang w:val="en-US" w:eastAsia="zh-CN"/>
        </w:rPr>
        <w:t>得</w:t>
      </w:r>
      <w:r>
        <w:rPr>
          <w:rFonts w:hint="eastAsia" w:ascii="宋体" w:hAnsi="宋体" w:cs="宋体"/>
          <w:b/>
          <w:bCs w:val="0"/>
          <w:color w:val="auto"/>
          <w:sz w:val="28"/>
          <w:szCs w:val="28"/>
          <w:lang w:val="en-US" w:eastAsia="zh-CN"/>
        </w:rPr>
        <w:t>45</w:t>
      </w:r>
      <w:r>
        <w:rPr>
          <w:rFonts w:hint="eastAsia" w:ascii="宋体" w:hAnsi="宋体" w:eastAsia="宋体" w:cs="宋体"/>
          <w:b/>
          <w:bCs w:val="0"/>
          <w:color w:val="auto"/>
          <w:sz w:val="28"/>
          <w:szCs w:val="28"/>
          <w:lang w:val="en-US" w:eastAsia="zh-CN"/>
        </w:rPr>
        <w:t>分</w:t>
      </w:r>
      <w:r>
        <w:rPr>
          <w:rFonts w:hint="eastAsia" w:ascii="宋体" w:hAnsi="宋体" w:cs="宋体"/>
          <w:b/>
          <w:bCs w:val="0"/>
          <w:color w:val="auto"/>
          <w:sz w:val="28"/>
          <w:szCs w:val="28"/>
          <w:lang w:val="en-US" w:eastAsia="zh-CN"/>
        </w:rPr>
        <w:t>，扣5分</w:t>
      </w:r>
      <w:r>
        <w:rPr>
          <w:rFonts w:hint="eastAsia" w:ascii="宋体" w:hAnsi="宋体" w:eastAsia="宋体" w:cs="宋体"/>
          <w:b/>
          <w:bCs w:val="0"/>
          <w:color w:val="auto"/>
          <w:sz w:val="28"/>
          <w:szCs w:val="28"/>
        </w:rPr>
        <w:t>)</w:t>
      </w:r>
    </w:p>
    <w:p>
      <w:pPr>
        <w:spacing w:after="0" w:line="580" w:lineRule="exact"/>
        <w:ind w:left="0" w:leftChars="0" w:firstLine="186" w:firstLineChars="66"/>
        <w:jc w:val="both"/>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2.1数量指标(15分，得1</w:t>
      </w:r>
      <w:r>
        <w:rPr>
          <w:rFonts w:hint="eastAsia" w:ascii="宋体" w:hAnsi="宋体" w:cs="宋体"/>
          <w:b/>
          <w:bCs w:val="0"/>
          <w:color w:val="auto"/>
          <w:sz w:val="28"/>
          <w:szCs w:val="28"/>
          <w:lang w:val="en-US" w:eastAsia="zh-CN"/>
        </w:rPr>
        <w:t>4</w:t>
      </w:r>
      <w:r>
        <w:rPr>
          <w:rFonts w:hint="eastAsia" w:ascii="宋体" w:hAnsi="宋体" w:eastAsia="宋体" w:cs="宋体"/>
          <w:b/>
          <w:bCs w:val="0"/>
          <w:color w:val="auto"/>
          <w:sz w:val="28"/>
          <w:szCs w:val="28"/>
          <w:lang w:val="en-US" w:eastAsia="zh-CN"/>
        </w:rPr>
        <w:t>分</w:t>
      </w:r>
      <w:r>
        <w:rPr>
          <w:rFonts w:hint="eastAsia" w:ascii="宋体" w:hAnsi="宋体" w:cs="宋体"/>
          <w:b/>
          <w:bCs w:val="0"/>
          <w:color w:val="auto"/>
          <w:sz w:val="28"/>
          <w:szCs w:val="28"/>
          <w:lang w:val="en-US" w:eastAsia="zh-CN"/>
        </w:rPr>
        <w:t>，扣1分</w:t>
      </w:r>
      <w:r>
        <w:rPr>
          <w:rFonts w:hint="eastAsia" w:ascii="宋体" w:hAnsi="宋体" w:eastAsia="宋体" w:cs="宋体"/>
          <w:b/>
          <w:bCs w:val="0"/>
          <w:color w:val="auto"/>
          <w:sz w:val="28"/>
          <w:szCs w:val="28"/>
          <w:lang w:val="en-US" w:eastAsia="zh-CN"/>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年度举行政协全会：202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年，本部门举行政协全会</w:t>
      </w:r>
      <w:r>
        <w:rPr>
          <w:rFonts w:hint="eastAsia" w:ascii="宋体" w:hAnsi="宋体" w:cs="宋体"/>
          <w:b w:val="0"/>
          <w:bCs/>
          <w:color w:val="auto"/>
          <w:sz w:val="28"/>
          <w:szCs w:val="28"/>
          <w:lang w:val="en-US" w:eastAsia="zh-CN"/>
        </w:rPr>
        <w:t>1次，圆满完成年度任务</w:t>
      </w:r>
      <w:r>
        <w:rPr>
          <w:rFonts w:hint="eastAsia" w:ascii="宋体" w:hAnsi="宋体" w:eastAsia="宋体" w:cs="宋体"/>
          <w:b w:val="0"/>
          <w:bCs/>
          <w:color w:val="auto"/>
          <w:sz w:val="28"/>
          <w:szCs w:val="28"/>
          <w:lang w:val="en-US" w:eastAsia="zh-CN"/>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年度举行常委会：202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年，本部门</w:t>
      </w:r>
      <w:r>
        <w:rPr>
          <w:rFonts w:hint="eastAsia" w:ascii="宋体" w:hAnsi="宋体" w:cs="宋体"/>
          <w:b w:val="0"/>
          <w:bCs/>
          <w:color w:val="auto"/>
          <w:sz w:val="28"/>
          <w:szCs w:val="28"/>
          <w:lang w:val="en-US" w:eastAsia="zh-CN"/>
        </w:rPr>
        <w:t>组织</w:t>
      </w:r>
      <w:r>
        <w:rPr>
          <w:rFonts w:hint="eastAsia" w:ascii="宋体" w:hAnsi="宋体" w:eastAsia="宋体" w:cs="宋体"/>
          <w:b w:val="0"/>
          <w:bCs/>
          <w:color w:val="auto"/>
          <w:sz w:val="28"/>
          <w:szCs w:val="28"/>
          <w:lang w:val="en-US" w:eastAsia="zh-CN"/>
        </w:rPr>
        <w:t>举行政协常委会</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次。</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提交高质量调研视察报告文稿数：202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年完成调研视察报告、建议案31个，一批有价值的建言成果进入州委、州政府决策。</w:t>
      </w:r>
    </w:p>
    <w:p>
      <w:pPr>
        <w:numPr>
          <w:ilvl w:val="0"/>
          <w:numId w:val="4"/>
        </w:numPr>
        <w:spacing w:after="0" w:line="580" w:lineRule="exact"/>
        <w:ind w:left="640" w:leftChars="0" w:hanging="640" w:firstLineChars="0"/>
        <w:jc w:val="both"/>
        <w:outlineLvl w:val="0"/>
        <w:rPr>
          <w:rFonts w:hint="eastAsia"/>
          <w:lang w:val="en-US" w:eastAsia="zh-CN"/>
        </w:rPr>
      </w:pPr>
      <w:r>
        <w:rPr>
          <w:rFonts w:hint="eastAsia" w:ascii="宋体" w:hAnsi="宋体" w:eastAsia="宋体" w:cs="宋体"/>
          <w:b w:val="0"/>
          <w:bCs/>
          <w:color w:val="auto"/>
          <w:sz w:val="28"/>
          <w:szCs w:val="28"/>
          <w:lang w:val="en-US" w:eastAsia="zh-CN"/>
        </w:rPr>
        <w:t>全年</w:t>
      </w:r>
      <w:r>
        <w:rPr>
          <w:rFonts w:hint="eastAsia" w:ascii="宋体" w:hAnsi="宋体" w:cs="宋体"/>
          <w:b w:val="0"/>
          <w:bCs/>
          <w:color w:val="auto"/>
          <w:sz w:val="28"/>
          <w:szCs w:val="28"/>
          <w:lang w:val="en-US" w:eastAsia="zh-CN"/>
        </w:rPr>
        <w:t>完成</w:t>
      </w:r>
      <w:r>
        <w:rPr>
          <w:rFonts w:hint="eastAsia" w:ascii="宋体" w:hAnsi="宋体" w:eastAsia="宋体" w:cs="宋体"/>
          <w:b w:val="0"/>
          <w:bCs/>
          <w:color w:val="auto"/>
          <w:sz w:val="28"/>
          <w:szCs w:val="28"/>
          <w:lang w:val="en-US" w:eastAsia="zh-CN"/>
        </w:rPr>
        <w:t>政协</w:t>
      </w:r>
      <w:r>
        <w:rPr>
          <w:rFonts w:hint="eastAsia" w:ascii="宋体" w:hAnsi="宋体" w:cs="宋体"/>
          <w:b w:val="0"/>
          <w:bCs/>
          <w:color w:val="auto"/>
          <w:sz w:val="28"/>
          <w:szCs w:val="28"/>
          <w:lang w:val="en-US" w:eastAsia="zh-CN"/>
        </w:rPr>
        <w:t>委员</w:t>
      </w:r>
      <w:r>
        <w:rPr>
          <w:rFonts w:hint="eastAsia" w:ascii="宋体" w:hAnsi="宋体" w:eastAsia="宋体" w:cs="宋体"/>
          <w:b w:val="0"/>
          <w:bCs/>
          <w:color w:val="auto"/>
          <w:sz w:val="28"/>
          <w:szCs w:val="28"/>
          <w:lang w:val="en-US" w:eastAsia="zh-CN"/>
        </w:rPr>
        <w:t>提案督办数：2022年</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t>组织委员提交提案296件，审查立案242件，其中已解决或采纳建议的占75.20%，纳入计划逐步解决的占17.36%,因条件限制暂不能解决的占7.44%，提案工作从“提得多”向“提得对、办得好”转变。</w:t>
      </w:r>
    </w:p>
    <w:p>
      <w:pPr>
        <w:spacing w:after="0" w:line="580" w:lineRule="exact"/>
        <w:ind w:left="0" w:leftChars="0" w:firstLine="186" w:firstLineChars="66"/>
        <w:jc w:val="both"/>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2.2质量指标(15分，得15分)</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color w:val="auto"/>
          <w:kern w:val="2"/>
          <w:sz w:val="28"/>
          <w:szCs w:val="28"/>
          <w:lang w:val="en-US" w:eastAsia="zh-CN" w:bidi="ar"/>
        </w:rPr>
        <w:t>重点提案督办率</w:t>
      </w:r>
      <w:r>
        <w:rPr>
          <w:rFonts w:hint="eastAsia" w:ascii="宋体" w:hAnsi="宋体" w:eastAsia="宋体" w:cs="宋体"/>
          <w:b w:val="0"/>
          <w:bCs/>
          <w:color w:val="auto"/>
          <w:sz w:val="28"/>
          <w:szCs w:val="28"/>
          <w:lang w:val="en-US" w:eastAsia="zh-CN"/>
        </w:rPr>
        <w:t>：认真落实重要提案直报州委州政府主要领导签批，重点提案由州委州政府领导领办、州政协督办的工作要求，高质量完成9件重点提案、13件重要提案的办理；</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重点课题调研报告完成质量：(3)《用一线思维助推铸牢中华民族共同体意识的湘西实践》在全国暨地方政协民族和宗教委员会工作交流会上得到推介。《促进文旅融合助力旅游千亿产业高质量发展调研报告》、《加快智慧旅游建设提升旅游业服务水平调研报告》和《湘西州新能源汽车推广应用情况调研报告》、《全州委员工作室建设运行情况视察报告》分别获2022年度全省政协系统优秀调研报告一、二、三等奖。</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政协云管理到位率：政协云开启了“互联网+”时代的委员履职新模式，通过政协云微建议、社情民意、热点关注、委员值班等履职栏目，“永不落幕”的网络履职协商民主新方式正在形成，“年委员、季常委”履职成为历史。</w:t>
      </w:r>
    </w:p>
    <w:p>
      <w:pPr>
        <w:spacing w:after="0" w:line="580" w:lineRule="exact"/>
        <w:jc w:val="both"/>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2.3时效指标(5分，得5分)</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重点工作完成及时率：202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年本单位重点工作完成及时率达100%，工作圆满完成。</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民主监督意见完成率：紧扣政策落实开展民主监督，紧扣重点难点参政议政，务实开展履职活动，助推全州经济社会高质量发展。通过重点提案督办，增强协商监督实效，推动为民办实事工作落地落实。</w:t>
      </w:r>
    </w:p>
    <w:p>
      <w:pPr>
        <w:spacing w:after="0" w:line="580" w:lineRule="exact"/>
        <w:ind w:firstLine="281" w:firstLineChars="100"/>
        <w:jc w:val="both"/>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2.4成本指标(15分，得</w:t>
      </w:r>
      <w:r>
        <w:rPr>
          <w:rFonts w:hint="eastAsia" w:ascii="宋体" w:hAnsi="宋体" w:cs="宋体"/>
          <w:b/>
          <w:color w:val="FF0000"/>
          <w:sz w:val="28"/>
          <w:szCs w:val="28"/>
          <w:lang w:val="en-US" w:eastAsia="zh-CN"/>
        </w:rPr>
        <w:t>11</w:t>
      </w:r>
      <w:r>
        <w:rPr>
          <w:rFonts w:hint="eastAsia" w:ascii="宋体" w:hAnsi="宋体" w:eastAsia="宋体" w:cs="宋体"/>
          <w:b/>
          <w:color w:val="auto"/>
          <w:sz w:val="28"/>
          <w:szCs w:val="28"/>
          <w:lang w:val="en-US" w:eastAsia="zh-CN"/>
        </w:rPr>
        <w:t>分</w:t>
      </w:r>
      <w:r>
        <w:rPr>
          <w:rFonts w:hint="eastAsia" w:ascii="宋体" w:hAnsi="宋体" w:cs="宋体"/>
          <w:b/>
          <w:color w:val="auto"/>
          <w:sz w:val="28"/>
          <w:szCs w:val="28"/>
          <w:lang w:val="en-US" w:eastAsia="zh-CN"/>
        </w:rPr>
        <w:t>，扣</w:t>
      </w:r>
      <w:r>
        <w:rPr>
          <w:rFonts w:hint="eastAsia" w:ascii="宋体" w:hAnsi="宋体" w:cs="宋体"/>
          <w:b/>
          <w:color w:val="FF0000"/>
          <w:sz w:val="28"/>
          <w:szCs w:val="28"/>
          <w:lang w:val="en-US" w:eastAsia="zh-CN"/>
        </w:rPr>
        <w:t>4分</w:t>
      </w:r>
      <w:r>
        <w:rPr>
          <w:rFonts w:hint="eastAsia" w:ascii="宋体" w:hAnsi="宋体" w:eastAsia="宋体" w:cs="宋体"/>
          <w:b/>
          <w:color w:val="auto"/>
          <w:sz w:val="28"/>
          <w:szCs w:val="28"/>
          <w:lang w:val="en-US" w:eastAsia="zh-CN"/>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在职人员控制率：202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年年末实有人数</w:t>
      </w:r>
      <w:r>
        <w:rPr>
          <w:rFonts w:hint="eastAsia" w:ascii="宋体" w:hAnsi="宋体" w:cs="宋体"/>
          <w:b w:val="0"/>
          <w:bCs/>
          <w:color w:val="auto"/>
          <w:sz w:val="28"/>
          <w:szCs w:val="28"/>
          <w:lang w:val="en-US" w:eastAsia="zh-CN"/>
        </w:rPr>
        <w:t>72</w:t>
      </w:r>
      <w:r>
        <w:rPr>
          <w:rFonts w:hint="eastAsia" w:ascii="宋体" w:hAnsi="宋体" w:eastAsia="宋体" w:cs="宋体"/>
          <w:b w:val="0"/>
          <w:bCs/>
          <w:color w:val="auto"/>
          <w:sz w:val="28"/>
          <w:szCs w:val="28"/>
          <w:lang w:val="en-US" w:eastAsia="zh-CN"/>
        </w:rPr>
        <w:t>人，202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年在职人员编制数</w:t>
      </w:r>
      <w:r>
        <w:rPr>
          <w:rFonts w:hint="eastAsia" w:ascii="宋体" w:hAnsi="宋体" w:cs="宋体"/>
          <w:b w:val="0"/>
          <w:bCs/>
          <w:color w:val="auto"/>
          <w:sz w:val="28"/>
          <w:szCs w:val="28"/>
          <w:lang w:val="en-US" w:eastAsia="zh-CN"/>
        </w:rPr>
        <w:t>73</w:t>
      </w:r>
      <w:r>
        <w:rPr>
          <w:rFonts w:hint="eastAsia" w:ascii="宋体" w:hAnsi="宋体" w:eastAsia="宋体" w:cs="宋体"/>
          <w:b w:val="0"/>
          <w:bCs/>
          <w:color w:val="auto"/>
          <w:sz w:val="28"/>
          <w:szCs w:val="28"/>
          <w:lang w:val="en-US" w:eastAsia="zh-CN"/>
        </w:rPr>
        <w:t>人，本单位在职人员控制率为</w:t>
      </w:r>
      <w:r>
        <w:rPr>
          <w:rFonts w:hint="eastAsia" w:ascii="宋体" w:hAnsi="宋体" w:cs="宋体"/>
          <w:b w:val="0"/>
          <w:bCs/>
          <w:color w:val="auto"/>
          <w:sz w:val="28"/>
          <w:szCs w:val="28"/>
          <w:lang w:val="en-US" w:eastAsia="zh-CN"/>
        </w:rPr>
        <w:t>98.63</w:t>
      </w:r>
      <w:r>
        <w:rPr>
          <w:rFonts w:hint="eastAsia" w:ascii="宋体" w:hAnsi="宋体" w:eastAsia="宋体" w:cs="宋体"/>
          <w:b w:val="0"/>
          <w:bCs/>
          <w:color w:val="auto"/>
          <w:sz w:val="28"/>
          <w:szCs w:val="28"/>
          <w:lang w:val="en-US" w:eastAsia="zh-CN"/>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公用经费控制率：202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本单位预算安排公用经费</w:t>
      </w:r>
      <w:r>
        <w:rPr>
          <w:rFonts w:hint="eastAsia" w:ascii="宋体" w:hAnsi="宋体" w:cs="宋体"/>
          <w:b w:val="0"/>
          <w:bCs/>
          <w:color w:val="auto"/>
          <w:sz w:val="28"/>
          <w:szCs w:val="28"/>
          <w:lang w:val="en-US" w:eastAsia="zh-CN"/>
        </w:rPr>
        <w:t>267.95</w:t>
      </w:r>
      <w:r>
        <w:rPr>
          <w:rFonts w:hint="eastAsia" w:ascii="宋体" w:hAnsi="宋体" w:eastAsia="宋体" w:cs="宋体"/>
          <w:b w:val="0"/>
          <w:bCs/>
          <w:color w:val="auto"/>
          <w:sz w:val="28"/>
          <w:szCs w:val="28"/>
          <w:lang w:val="en-US" w:eastAsia="zh-CN"/>
        </w:rPr>
        <w:t>万元，实际支出公用经费</w:t>
      </w:r>
      <w:r>
        <w:rPr>
          <w:rFonts w:hint="eastAsia" w:ascii="宋体" w:hAnsi="宋体" w:cs="宋体"/>
          <w:b w:val="0"/>
          <w:bCs/>
          <w:color w:val="auto"/>
          <w:sz w:val="28"/>
          <w:szCs w:val="28"/>
          <w:lang w:val="en-US" w:eastAsia="zh-CN"/>
        </w:rPr>
        <w:t>207.75</w:t>
      </w:r>
      <w:r>
        <w:rPr>
          <w:rFonts w:hint="eastAsia" w:ascii="宋体" w:hAnsi="宋体" w:eastAsia="宋体" w:cs="宋体"/>
          <w:b w:val="0"/>
          <w:bCs/>
          <w:color w:val="auto"/>
          <w:sz w:val="28"/>
          <w:szCs w:val="28"/>
          <w:lang w:val="en-US" w:eastAsia="zh-CN"/>
        </w:rPr>
        <w:t>万元，公用经费控制率为</w:t>
      </w:r>
      <w:r>
        <w:rPr>
          <w:rFonts w:hint="eastAsia" w:ascii="宋体" w:hAnsi="宋体" w:cs="宋体"/>
          <w:b w:val="0"/>
          <w:bCs/>
          <w:color w:val="auto"/>
          <w:sz w:val="28"/>
          <w:szCs w:val="28"/>
          <w:lang w:val="en-US" w:eastAsia="zh-CN"/>
        </w:rPr>
        <w:t>77.53</w:t>
      </w:r>
      <w:r>
        <w:rPr>
          <w:rFonts w:hint="eastAsia" w:ascii="宋体" w:hAnsi="宋体" w:eastAsia="宋体" w:cs="宋体"/>
          <w:b w:val="0"/>
          <w:bCs/>
          <w:color w:val="auto"/>
          <w:sz w:val="28"/>
          <w:szCs w:val="28"/>
          <w:lang w:val="en-US" w:eastAsia="zh-CN"/>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政府采购执行率：2021年政府采购预算数</w:t>
      </w:r>
      <w:r>
        <w:rPr>
          <w:rFonts w:hint="eastAsia" w:ascii="宋体" w:hAnsi="宋体" w:cs="宋体"/>
          <w:b w:val="0"/>
          <w:bCs/>
          <w:color w:val="000000" w:themeColor="text1"/>
          <w:sz w:val="28"/>
          <w:szCs w:val="28"/>
          <w:lang w:val="en-US" w:eastAsia="zh-CN"/>
          <w14:textFill>
            <w14:solidFill>
              <w14:schemeClr w14:val="tx1"/>
            </w14:solidFill>
          </w14:textFill>
        </w:rPr>
        <w:t>21.89</w:t>
      </w:r>
      <w:r>
        <w:rPr>
          <w:rFonts w:hint="eastAsia" w:ascii="宋体" w:hAnsi="宋体" w:eastAsia="宋体" w:cs="宋体"/>
          <w:b w:val="0"/>
          <w:bCs/>
          <w:color w:val="000000" w:themeColor="text1"/>
          <w:sz w:val="28"/>
          <w:szCs w:val="28"/>
          <w:lang w:val="en-US" w:eastAsia="zh-CN"/>
          <w14:textFill>
            <w14:solidFill>
              <w14:schemeClr w14:val="tx1"/>
            </w14:solidFill>
          </w14:textFill>
        </w:rPr>
        <w:t>万元，实际政府采购数</w:t>
      </w:r>
      <w:r>
        <w:rPr>
          <w:rFonts w:hint="eastAsia" w:ascii="宋体" w:hAnsi="宋体" w:cs="宋体"/>
          <w:b w:val="0"/>
          <w:bCs/>
          <w:color w:val="000000" w:themeColor="text1"/>
          <w:sz w:val="28"/>
          <w:szCs w:val="28"/>
          <w:lang w:val="en-US" w:eastAsia="zh-CN"/>
          <w14:textFill>
            <w14:solidFill>
              <w14:schemeClr w14:val="tx1"/>
            </w14:solidFill>
          </w14:textFill>
        </w:rPr>
        <w:t>106.53</w:t>
      </w:r>
      <w:r>
        <w:rPr>
          <w:rFonts w:hint="eastAsia" w:ascii="宋体" w:hAnsi="宋体" w:eastAsia="宋体" w:cs="宋体"/>
          <w:b w:val="0"/>
          <w:bCs/>
          <w:color w:val="000000" w:themeColor="text1"/>
          <w:sz w:val="28"/>
          <w:szCs w:val="28"/>
          <w:lang w:val="en-US" w:eastAsia="zh-CN"/>
          <w14:textFill>
            <w14:solidFill>
              <w14:schemeClr w14:val="tx1"/>
            </w14:solidFill>
          </w14:textFill>
        </w:rPr>
        <w:t>元，政府采购执行率</w:t>
      </w:r>
      <w:r>
        <w:rPr>
          <w:rFonts w:hint="eastAsia" w:ascii="宋体" w:hAnsi="宋体" w:cs="宋体"/>
          <w:b w:val="0"/>
          <w:bCs/>
          <w:color w:val="000000" w:themeColor="text1"/>
          <w:sz w:val="28"/>
          <w:szCs w:val="28"/>
          <w:lang w:val="en-US" w:eastAsia="zh-CN"/>
          <w14:textFill>
            <w14:solidFill>
              <w14:schemeClr w14:val="tx1"/>
            </w14:solidFill>
          </w14:textFill>
        </w:rPr>
        <w:t>486</w:t>
      </w:r>
      <w:r>
        <w:rPr>
          <w:rFonts w:hint="eastAsia" w:ascii="宋体" w:hAnsi="宋体" w:eastAsia="宋体" w:cs="宋体"/>
          <w:b w:val="0"/>
          <w:bCs/>
          <w:color w:val="000000" w:themeColor="text1"/>
          <w:sz w:val="28"/>
          <w:szCs w:val="28"/>
          <w:lang w:val="en-US" w:eastAsia="zh-CN"/>
          <w14:textFill>
            <w14:solidFill>
              <w14:schemeClr w14:val="tx1"/>
            </w14:solidFill>
          </w14:textFill>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“三公经费”控制率：202</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年本单位“三公”经费预算</w:t>
      </w:r>
      <w:r>
        <w:rPr>
          <w:rFonts w:hint="eastAsia" w:ascii="宋体" w:hAnsi="宋体" w:cs="宋体"/>
          <w:b w:val="0"/>
          <w:bCs/>
          <w:color w:val="auto"/>
          <w:sz w:val="28"/>
          <w:szCs w:val="28"/>
          <w:lang w:val="en-US" w:eastAsia="zh-CN"/>
        </w:rPr>
        <w:t>94</w:t>
      </w:r>
      <w:r>
        <w:rPr>
          <w:rFonts w:hint="eastAsia" w:ascii="宋体" w:hAnsi="宋体" w:eastAsia="宋体" w:cs="宋体"/>
          <w:b w:val="0"/>
          <w:bCs/>
          <w:color w:val="auto"/>
          <w:sz w:val="28"/>
          <w:szCs w:val="28"/>
          <w:lang w:val="en-US" w:eastAsia="zh-CN"/>
        </w:rPr>
        <w:t>万元，实际支出</w:t>
      </w:r>
      <w:r>
        <w:rPr>
          <w:rFonts w:hint="eastAsia" w:ascii="宋体" w:hAnsi="宋体" w:cs="宋体"/>
          <w:b w:val="0"/>
          <w:bCs/>
          <w:color w:val="auto"/>
          <w:sz w:val="28"/>
          <w:szCs w:val="28"/>
          <w:lang w:val="en-US" w:eastAsia="zh-CN"/>
        </w:rPr>
        <w:t>102.99</w:t>
      </w:r>
      <w:r>
        <w:rPr>
          <w:rFonts w:hint="eastAsia" w:ascii="宋体" w:hAnsi="宋体" w:eastAsia="宋体" w:cs="宋体"/>
          <w:b w:val="0"/>
          <w:bCs/>
          <w:color w:val="auto"/>
          <w:sz w:val="28"/>
          <w:szCs w:val="28"/>
          <w:lang w:val="en-US" w:eastAsia="zh-CN"/>
        </w:rPr>
        <w:t>万元；本年度“三公”经费控制率为</w:t>
      </w:r>
      <w:r>
        <w:rPr>
          <w:rFonts w:hint="eastAsia" w:ascii="宋体" w:hAnsi="宋体" w:cs="宋体"/>
          <w:b w:val="0"/>
          <w:bCs/>
          <w:color w:val="auto"/>
          <w:sz w:val="28"/>
          <w:szCs w:val="28"/>
          <w:lang w:val="en-US" w:eastAsia="zh-CN"/>
        </w:rPr>
        <w:t>109.56</w:t>
      </w:r>
      <w:r>
        <w:rPr>
          <w:rFonts w:hint="eastAsia" w:ascii="宋体" w:hAnsi="宋体" w:eastAsia="宋体" w:cs="宋体"/>
          <w:b w:val="0"/>
          <w:bCs/>
          <w:color w:val="auto"/>
          <w:sz w:val="28"/>
          <w:szCs w:val="28"/>
          <w:lang w:val="en-US" w:eastAsia="zh-CN"/>
        </w:rPr>
        <w:t>%；</w:t>
      </w:r>
    </w:p>
    <w:p>
      <w:pPr>
        <w:numPr>
          <w:ilvl w:val="0"/>
          <w:numId w:val="4"/>
        </w:numPr>
        <w:spacing w:after="0" w:line="580" w:lineRule="exact"/>
        <w:ind w:left="640" w:leftChars="0" w:hanging="640" w:firstLineChars="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固定资产利用率：本单位所有固定资产总额</w:t>
      </w:r>
      <w:r>
        <w:rPr>
          <w:rFonts w:hint="eastAsia" w:ascii="宋体" w:hAnsi="宋体" w:cs="宋体"/>
          <w:b w:val="0"/>
          <w:bCs/>
          <w:color w:val="auto"/>
          <w:sz w:val="28"/>
          <w:szCs w:val="28"/>
          <w:lang w:val="en-US" w:eastAsia="zh-CN"/>
        </w:rPr>
        <w:t>1006.33</w:t>
      </w:r>
      <w:r>
        <w:rPr>
          <w:rFonts w:hint="eastAsia" w:ascii="宋体" w:hAnsi="宋体" w:eastAsia="宋体" w:cs="宋体"/>
          <w:b w:val="0"/>
          <w:bCs/>
          <w:color w:val="auto"/>
          <w:sz w:val="28"/>
          <w:szCs w:val="28"/>
          <w:lang w:val="en-US" w:eastAsia="zh-CN"/>
        </w:rPr>
        <w:t>万元，实际在用固定资产总额</w:t>
      </w:r>
      <w:r>
        <w:rPr>
          <w:rFonts w:hint="eastAsia" w:ascii="宋体" w:hAnsi="宋体" w:cs="宋体"/>
          <w:b w:val="0"/>
          <w:bCs/>
          <w:color w:val="auto"/>
          <w:sz w:val="28"/>
          <w:szCs w:val="28"/>
          <w:lang w:val="en-US" w:eastAsia="zh-CN"/>
        </w:rPr>
        <w:t>1006.33</w:t>
      </w:r>
      <w:r>
        <w:rPr>
          <w:rFonts w:hint="eastAsia" w:ascii="宋体" w:hAnsi="宋体" w:eastAsia="宋体" w:cs="宋体"/>
          <w:b w:val="0"/>
          <w:bCs/>
          <w:color w:val="auto"/>
          <w:sz w:val="28"/>
          <w:szCs w:val="28"/>
          <w:lang w:val="en-US" w:eastAsia="zh-CN"/>
        </w:rPr>
        <w:t>万元，固定资产利用率100%，没有闲置、出租等固定资产。</w:t>
      </w:r>
    </w:p>
    <w:p>
      <w:p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效益</w:t>
      </w:r>
      <w:r>
        <w:rPr>
          <w:rFonts w:hint="eastAsia" w:ascii="宋体" w:hAnsi="宋体" w:eastAsia="宋体" w:cs="宋体"/>
          <w:b/>
          <w:color w:val="auto"/>
          <w:sz w:val="28"/>
          <w:szCs w:val="28"/>
          <w:lang w:val="en-US" w:eastAsia="zh-CN"/>
        </w:rPr>
        <w:t>指标（30分，得</w:t>
      </w:r>
      <w:r>
        <w:rPr>
          <w:rFonts w:hint="eastAsia" w:ascii="宋体" w:hAnsi="宋体" w:cs="宋体"/>
          <w:b/>
          <w:color w:val="auto"/>
          <w:sz w:val="28"/>
          <w:szCs w:val="28"/>
          <w:lang w:val="en-US" w:eastAsia="zh-CN"/>
        </w:rPr>
        <w:t>30</w:t>
      </w:r>
      <w:r>
        <w:rPr>
          <w:rFonts w:hint="eastAsia" w:ascii="宋体" w:hAnsi="宋体" w:eastAsia="宋体" w:cs="宋体"/>
          <w:b/>
          <w:color w:val="auto"/>
          <w:sz w:val="28"/>
          <w:szCs w:val="28"/>
          <w:lang w:val="en-US" w:eastAsia="zh-CN"/>
        </w:rPr>
        <w:t xml:space="preserve">分） </w:t>
      </w:r>
    </w:p>
    <w:p>
      <w:pPr>
        <w:spacing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.1经济效益指标</w:t>
      </w:r>
    </w:p>
    <w:p>
      <w:pPr>
        <w:spacing w:after="0" w:line="580" w:lineRule="exact"/>
        <w:ind w:firstLine="560" w:firstLineChars="200"/>
        <w:jc w:val="both"/>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202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年，发挥政协联系面广、委员界别多的自身优势，为我州经济建设提供及时、有效信息，为我州经济腾飞注入活力</w:t>
      </w:r>
      <w:r>
        <w:rPr>
          <w:rFonts w:hint="eastAsia" w:ascii="宋体" w:hAnsi="宋体" w:cs="宋体"/>
          <w:bCs/>
          <w:color w:val="auto"/>
          <w:sz w:val="28"/>
          <w:szCs w:val="28"/>
          <w:lang w:val="en-US" w:eastAsia="zh-CN"/>
        </w:rPr>
        <w:t>。州政协主席会议成员联系重点工作、重点项目、重点企业、乡村振兴和易地搬迁集中安置区后扶等工作，在规划实施、项目推进、要素保障、环境优化等方面献计出力。州政协牵头，持续开展“红军村红色贷，助力乡村振兴”活动，深化与省农信联社湘西办事处、州直相关部门、县市政协、乡镇、村合作社、农户等多方协商对接，就贷款用途、规模、利率、风险深度协商，首批60个红军村预授信农户、合作社、新型农业经济主体17113户，预授信金额9.61亿元，发放贷款达5.21亿元，利息优惠1364.8万元，打造了多方协商、深度协商品牌，在全省政协履职创新故事大赛中荣获二等奖。</w:t>
      </w:r>
      <w:r>
        <w:rPr>
          <w:rFonts w:hint="eastAsia" w:ascii="宋体" w:hAnsi="宋体" w:eastAsia="宋体" w:cs="宋体"/>
          <w:bCs/>
          <w:color w:val="auto"/>
          <w:sz w:val="28"/>
          <w:szCs w:val="28"/>
          <w:lang w:eastAsia="zh-CN"/>
        </w:rPr>
        <w:t>全州政协系统联系乡村振兴帮扶村15个，实施惠民项目90余个。州工商联界别委员动员335家民营企业参与乡村振兴活动，结对帮扶267个村，实施项目339个。</w:t>
      </w:r>
    </w:p>
    <w:p>
      <w:pPr>
        <w:spacing w:after="0" w:line="580" w:lineRule="exact"/>
        <w:jc w:val="both"/>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2.2社会效益指标</w:t>
      </w:r>
    </w:p>
    <w:p>
      <w:pPr>
        <w:spacing w:after="0" w:line="580" w:lineRule="exact"/>
        <w:ind w:firstLine="560" w:firstLineChars="2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202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年，全州政协系统联系乡村振兴帮扶村15个，实施惠民项目90余个。州政协机关帮扶吉首市己略乡夯坨村被评为全州人居环境整治示范村。民盟州委界别委员开展“我为群众办实事”系列社会服务活动19次，捐赠救助金、防疫物资总计11.9万元。，为州政协机关开展乡村振兴工作贡献力量。</w:t>
      </w:r>
    </w:p>
    <w:p>
      <w:p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.3 可持续影响指标</w:t>
      </w:r>
    </w:p>
    <w:p>
      <w:pPr>
        <w:pStyle w:val="8"/>
        <w:widowControl/>
        <w:spacing w:before="0" w:beforeAutospacing="0" w:after="0" w:afterAutospacing="0" w:line="600" w:lineRule="exact"/>
        <w:ind w:left="0" w:right="0" w:firstLine="560" w:firstLineChars="2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cs="宋体"/>
          <w:bCs/>
          <w:color w:val="auto"/>
          <w:sz w:val="28"/>
          <w:szCs w:val="28"/>
          <w:lang w:val="en-US" w:eastAsia="zh-CN"/>
        </w:rPr>
        <w:t>2</w:t>
      </w:r>
      <w:r>
        <w:rPr>
          <w:rFonts w:hint="eastAsia" w:ascii="宋体" w:hAnsi="宋体" w:eastAsia="宋体" w:cs="宋体"/>
          <w:bCs/>
          <w:color w:val="auto"/>
          <w:sz w:val="28"/>
          <w:szCs w:val="28"/>
        </w:rPr>
        <w:t>年本</w:t>
      </w:r>
      <w:r>
        <w:rPr>
          <w:rFonts w:hint="eastAsia" w:ascii="宋体" w:hAnsi="宋体" w:eastAsia="宋体" w:cs="宋体"/>
          <w:bCs/>
          <w:color w:val="auto"/>
          <w:sz w:val="28"/>
          <w:szCs w:val="28"/>
          <w:lang w:val="en-US" w:eastAsia="zh-CN"/>
        </w:rPr>
        <w:t>部门</w:t>
      </w:r>
      <w:r>
        <w:rPr>
          <w:rFonts w:hint="eastAsia" w:cs="宋体"/>
          <w:bCs/>
          <w:color w:val="auto"/>
          <w:sz w:val="28"/>
          <w:szCs w:val="28"/>
          <w:lang w:val="en-US" w:eastAsia="zh-CN"/>
        </w:rPr>
        <w:t>提升服务格局，抓好中华优秀传统文化进机关、文明机关建设、平安建设等工作，全州政协系统创先争优意识不断增强。</w:t>
      </w:r>
      <w:r>
        <w:rPr>
          <w:rFonts w:hint="eastAsia" w:ascii="宋体" w:hAnsi="宋体" w:eastAsia="宋体" w:cs="宋体"/>
          <w:bCs/>
          <w:color w:val="auto"/>
          <w:sz w:val="28"/>
          <w:szCs w:val="28"/>
          <w:lang w:eastAsia="zh-CN"/>
        </w:rPr>
        <w:t>不断巩固省级文明单位创建成果，文明、绿色城市环境</w:t>
      </w:r>
      <w:r>
        <w:rPr>
          <w:rFonts w:hint="eastAsia" w:cs="宋体"/>
          <w:bCs/>
          <w:color w:val="auto"/>
          <w:sz w:val="28"/>
          <w:szCs w:val="28"/>
          <w:lang w:eastAsia="zh-CN"/>
        </w:rPr>
        <w:t>。</w:t>
      </w:r>
      <w:r>
        <w:rPr>
          <w:rFonts w:hint="eastAsia" w:ascii="宋体" w:hAnsi="宋体" w:eastAsia="宋体" w:cs="宋体"/>
          <w:bCs/>
          <w:color w:val="auto"/>
          <w:sz w:val="28"/>
          <w:szCs w:val="28"/>
        </w:rPr>
        <w:t>开展我州林业科持续发展专题调研和矿区</w:t>
      </w:r>
      <w:r>
        <w:rPr>
          <w:rFonts w:hint="eastAsia" w:cs="宋体"/>
          <w:bCs/>
          <w:color w:val="auto"/>
          <w:sz w:val="28"/>
          <w:szCs w:val="28"/>
          <w:lang w:val="en-US" w:eastAsia="zh-CN"/>
        </w:rPr>
        <w:t>环境治理</w:t>
      </w:r>
      <w:r>
        <w:rPr>
          <w:rFonts w:hint="eastAsia" w:ascii="宋体" w:hAnsi="宋体" w:eastAsia="宋体" w:cs="宋体"/>
          <w:bCs/>
          <w:color w:val="auto"/>
          <w:sz w:val="28"/>
          <w:szCs w:val="28"/>
        </w:rPr>
        <w:t>专项视察活动，为建设绿色湘西提供发展思路</w:t>
      </w:r>
      <w:r>
        <w:rPr>
          <w:rFonts w:hint="eastAsia" w:ascii="宋体" w:hAnsi="宋体" w:eastAsia="宋体" w:cs="宋体"/>
          <w:bCs/>
          <w:color w:val="auto"/>
          <w:sz w:val="28"/>
          <w:szCs w:val="28"/>
          <w:lang w:eastAsia="zh-CN"/>
        </w:rPr>
        <w:t>。</w:t>
      </w:r>
    </w:p>
    <w:p>
      <w:pPr>
        <w:spacing w:before="183" w:beforeLines="50" w:after="0" w:line="580" w:lineRule="exact"/>
        <w:jc w:val="both"/>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 xml:space="preserve">3、满意度指标（10分，得10分） </w:t>
      </w:r>
    </w:p>
    <w:p>
      <w:pPr>
        <w:spacing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3.1</w:t>
      </w:r>
      <w:r>
        <w:rPr>
          <w:rFonts w:hint="eastAsia" w:ascii="宋体" w:hAnsi="宋体" w:eastAsia="宋体" w:cs="宋体"/>
          <w:b/>
          <w:color w:val="auto"/>
          <w:sz w:val="28"/>
          <w:szCs w:val="28"/>
        </w:rPr>
        <w:t>社会公众或服务对象满意度</w:t>
      </w:r>
    </w:p>
    <w:p>
      <w:pPr>
        <w:spacing w:after="0" w:line="580" w:lineRule="exact"/>
        <w:ind w:firstLine="560" w:firstLineChars="200"/>
        <w:jc w:val="both"/>
        <w:rPr>
          <w:rFonts w:hint="eastAsia" w:ascii="宋体" w:hAnsi="宋体" w:eastAsia="宋体" w:cs="宋体"/>
          <w:bCs/>
          <w:color w:val="auto"/>
          <w:sz w:val="28"/>
          <w:szCs w:val="28"/>
        </w:rPr>
      </w:pPr>
      <w:r>
        <w:rPr>
          <w:rFonts w:hint="eastAsia" w:ascii="宋体" w:hAnsi="宋体" w:eastAsia="宋体" w:cs="宋体"/>
          <w:bCs/>
          <w:color w:val="auto"/>
          <w:sz w:val="28"/>
          <w:szCs w:val="28"/>
        </w:rPr>
        <w:t>本次通过对社会群众、服务对象、</w:t>
      </w:r>
      <w:r>
        <w:rPr>
          <w:rFonts w:hint="eastAsia" w:ascii="宋体" w:hAnsi="宋体" w:eastAsia="宋体" w:cs="宋体"/>
          <w:bCs/>
          <w:color w:val="auto"/>
          <w:sz w:val="28"/>
          <w:szCs w:val="28"/>
          <w:lang w:val="en-US" w:eastAsia="zh-CN"/>
        </w:rPr>
        <w:t>单位</w:t>
      </w:r>
      <w:r>
        <w:rPr>
          <w:rFonts w:hint="eastAsia" w:ascii="宋体" w:hAnsi="宋体" w:eastAsia="宋体" w:cs="宋体"/>
          <w:bCs/>
          <w:color w:val="auto"/>
          <w:sz w:val="28"/>
          <w:szCs w:val="28"/>
        </w:rPr>
        <w:t>内部进行问卷调查，</w:t>
      </w:r>
      <w:r>
        <w:rPr>
          <w:rFonts w:hint="eastAsia" w:ascii="宋体" w:hAnsi="宋体" w:eastAsia="宋体" w:cs="宋体"/>
          <w:bCs/>
          <w:color w:val="auto"/>
          <w:sz w:val="28"/>
          <w:szCs w:val="28"/>
          <w:lang w:val="en-US" w:eastAsia="zh-CN"/>
        </w:rPr>
        <w:t>调查满意度达到97%。</w:t>
      </w:r>
    </w:p>
    <w:p>
      <w:p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七、综合评价情况及评价结论</w:t>
      </w:r>
    </w:p>
    <w:p>
      <w:pPr>
        <w:spacing w:after="0" w:line="580" w:lineRule="exact"/>
        <w:ind w:firstLine="560" w:firstLineChars="200"/>
        <w:jc w:val="both"/>
        <w:rPr>
          <w:rFonts w:hint="eastAsia" w:ascii="宋体" w:hAnsi="宋体" w:eastAsia="宋体" w:cs="宋体"/>
          <w:color w:val="auto"/>
          <w:sz w:val="28"/>
          <w:szCs w:val="28"/>
          <w:lang w:bidi="ar"/>
        </w:rPr>
      </w:pPr>
      <w:r>
        <w:rPr>
          <w:rFonts w:hint="eastAsia" w:ascii="宋体" w:hAnsi="宋体" w:eastAsia="宋体" w:cs="宋体"/>
          <w:bCs/>
          <w:color w:val="auto"/>
          <w:sz w:val="28"/>
          <w:szCs w:val="28"/>
          <w:lang w:val="en-US" w:eastAsia="zh-CN"/>
        </w:rPr>
        <w:t>州政协202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年重点工作任务已按计划完成，各项工作任务开展符合部门职能职责的范围。本单位202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年</w:t>
      </w:r>
      <w:r>
        <w:rPr>
          <w:rFonts w:hint="eastAsia" w:ascii="宋体" w:hAnsi="宋体" w:eastAsia="宋体" w:cs="宋体"/>
          <w:bCs/>
          <w:color w:val="auto"/>
          <w:sz w:val="28"/>
          <w:szCs w:val="28"/>
        </w:rPr>
        <w:t>设定的2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rPr>
        <w:t>个绩效指标均已完成</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部门整体支出绩效自评得分为</w:t>
      </w:r>
      <w:r>
        <w:rPr>
          <w:rFonts w:hint="eastAsia" w:ascii="宋体" w:hAnsi="宋体" w:cs="宋体"/>
          <w:bCs/>
          <w:color w:val="auto"/>
          <w:sz w:val="28"/>
          <w:szCs w:val="28"/>
          <w:lang w:val="en-US" w:eastAsia="zh-CN"/>
        </w:rPr>
        <w:t>94.93</w:t>
      </w:r>
      <w:r>
        <w:rPr>
          <w:rFonts w:hint="eastAsia" w:ascii="宋体" w:hAnsi="宋体" w:eastAsia="宋体" w:cs="宋体"/>
          <w:bCs/>
          <w:color w:val="auto"/>
          <w:sz w:val="28"/>
          <w:szCs w:val="28"/>
        </w:rPr>
        <w:t>分，其中：投入绩效</w:t>
      </w:r>
      <w:r>
        <w:rPr>
          <w:rFonts w:hint="eastAsia" w:ascii="宋体" w:hAnsi="宋体" w:eastAsia="宋体" w:cs="宋体"/>
          <w:bCs/>
          <w:color w:val="auto"/>
          <w:sz w:val="28"/>
          <w:szCs w:val="28"/>
          <w:lang w:val="en-US" w:eastAsia="zh-CN"/>
        </w:rPr>
        <w:t>9.9</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分，产出</w:t>
      </w:r>
      <w:r>
        <w:rPr>
          <w:rFonts w:hint="eastAsia" w:ascii="宋体" w:hAnsi="宋体" w:cs="宋体"/>
          <w:bCs/>
          <w:color w:val="auto"/>
          <w:sz w:val="28"/>
          <w:szCs w:val="28"/>
          <w:lang w:val="en-US" w:eastAsia="zh-CN"/>
        </w:rPr>
        <w:t>45</w:t>
      </w:r>
      <w:r>
        <w:rPr>
          <w:rFonts w:hint="eastAsia" w:ascii="宋体" w:hAnsi="宋体" w:eastAsia="宋体" w:cs="宋体"/>
          <w:bCs/>
          <w:color w:val="auto"/>
          <w:sz w:val="28"/>
          <w:szCs w:val="28"/>
        </w:rPr>
        <w:t>分</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效益</w:t>
      </w:r>
      <w:r>
        <w:rPr>
          <w:rFonts w:hint="eastAsia" w:ascii="宋体" w:hAnsi="宋体" w:cs="宋体"/>
          <w:bCs/>
          <w:color w:val="auto"/>
          <w:sz w:val="28"/>
          <w:szCs w:val="28"/>
          <w:lang w:val="en-US" w:eastAsia="zh-CN"/>
        </w:rPr>
        <w:t>30</w:t>
      </w:r>
      <w:r>
        <w:rPr>
          <w:rFonts w:hint="eastAsia" w:ascii="宋体" w:hAnsi="宋体" w:eastAsia="宋体" w:cs="宋体"/>
          <w:bCs/>
          <w:color w:val="auto"/>
          <w:sz w:val="28"/>
          <w:szCs w:val="28"/>
        </w:rPr>
        <w:t>分，</w:t>
      </w:r>
      <w:r>
        <w:rPr>
          <w:rFonts w:hint="eastAsia" w:ascii="宋体" w:hAnsi="宋体" w:eastAsia="宋体" w:cs="宋体"/>
          <w:bCs/>
          <w:color w:val="auto"/>
          <w:sz w:val="28"/>
          <w:szCs w:val="28"/>
          <w:lang w:val="en-US" w:eastAsia="zh-CN"/>
        </w:rPr>
        <w:t>满意度10</w:t>
      </w:r>
      <w:r>
        <w:rPr>
          <w:rFonts w:hint="eastAsia" w:ascii="宋体" w:hAnsi="宋体" w:eastAsia="宋体" w:cs="宋体"/>
          <w:bCs/>
          <w:color w:val="auto"/>
          <w:sz w:val="28"/>
          <w:szCs w:val="28"/>
        </w:rPr>
        <w:t>分</w:t>
      </w:r>
      <w:r>
        <w:rPr>
          <w:rFonts w:hint="eastAsia" w:ascii="宋体" w:hAnsi="宋体" w:eastAsia="宋体" w:cs="宋体"/>
          <w:bCs/>
          <w:color w:val="auto"/>
          <w:sz w:val="28"/>
          <w:szCs w:val="28"/>
          <w:lang w:eastAsia="zh-CN"/>
        </w:rPr>
        <w:t>，本单位</w:t>
      </w:r>
      <w:r>
        <w:rPr>
          <w:rFonts w:hint="eastAsia" w:ascii="宋体" w:hAnsi="宋体" w:eastAsia="宋体" w:cs="宋体"/>
          <w:bCs/>
          <w:color w:val="auto"/>
          <w:sz w:val="28"/>
          <w:szCs w:val="28"/>
        </w:rPr>
        <w:t>评价结果等次为“优”。详细评审评分见附件</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【202</w:t>
      </w:r>
      <w:r>
        <w:rPr>
          <w:rFonts w:hint="eastAsia" w:ascii="宋体" w:hAnsi="宋体" w:cs="宋体"/>
          <w:bCs/>
          <w:color w:val="auto"/>
          <w:sz w:val="28"/>
          <w:szCs w:val="28"/>
          <w:lang w:val="en-US" w:eastAsia="zh-CN"/>
        </w:rPr>
        <w:t>2年度</w:t>
      </w:r>
      <w:r>
        <w:rPr>
          <w:rFonts w:hint="eastAsia" w:ascii="宋体" w:hAnsi="宋体" w:eastAsia="宋体" w:cs="宋体"/>
          <w:bCs/>
          <w:color w:val="auto"/>
          <w:sz w:val="28"/>
          <w:szCs w:val="28"/>
        </w:rPr>
        <w:t>州级预算部门整体支出绩效自评表】</w:t>
      </w:r>
    </w:p>
    <w:tbl>
      <w:tblPr>
        <w:tblStyle w:val="9"/>
        <w:tblW w:w="8466"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2063"/>
        <w:gridCol w:w="2064"/>
        <w:gridCol w:w="2064"/>
        <w:gridCol w:w="22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一级指标</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指标分值</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自评得分</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得分率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投入</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9.9</w:t>
            </w:r>
            <w:r>
              <w:rPr>
                <w:rFonts w:hint="eastAsia" w:ascii="宋体" w:hAnsi="宋体" w:cs="宋体"/>
                <w:color w:val="auto"/>
                <w:kern w:val="0"/>
                <w:sz w:val="21"/>
                <w:szCs w:val="21"/>
                <w:lang w:val="en-US" w:eastAsia="zh-CN"/>
              </w:rPr>
              <w:t>3</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99</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64"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45</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90</w:t>
            </w:r>
            <w:r>
              <w:rPr>
                <w:rFonts w:hint="eastAsia" w:ascii="宋体" w:hAnsi="宋体" w:eastAsia="宋体" w:cs="宋体"/>
                <w:color w:val="auto"/>
                <w:kern w:val="0"/>
                <w:sz w:val="21"/>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trPr>
        <w:tc>
          <w:tcPr>
            <w:tcW w:w="2063"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206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100</w:t>
            </w:r>
            <w:r>
              <w:rPr>
                <w:rFonts w:hint="eastAsia" w:ascii="宋体" w:hAnsi="宋体" w:eastAsia="宋体" w:cs="宋体"/>
                <w:color w:val="auto"/>
                <w:kern w:val="0"/>
                <w:sz w:val="21"/>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94.93</w:t>
            </w:r>
          </w:p>
        </w:tc>
        <w:tc>
          <w:tcPr>
            <w:tcW w:w="227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75" w:beforeAutospacing="0" w:after="75" w:afterAutospacing="0"/>
              <w:ind w:left="0" w:right="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94.9</w:t>
            </w:r>
            <w:r>
              <w:rPr>
                <w:rFonts w:hint="eastAsia" w:ascii="宋体" w:hAnsi="宋体" w:eastAsia="宋体" w:cs="宋体"/>
                <w:color w:val="auto"/>
                <w:kern w:val="0"/>
                <w:sz w:val="21"/>
                <w:szCs w:val="21"/>
              </w:rPr>
              <w:t>%</w:t>
            </w:r>
          </w:p>
        </w:tc>
      </w:tr>
    </w:tbl>
    <w:p>
      <w:pPr>
        <w:spacing w:after="0" w:line="58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备注：详细评分见州级预算部门整体支出绩效自评表</w:t>
      </w:r>
      <w:r>
        <w:rPr>
          <w:rFonts w:hint="eastAsia" w:ascii="宋体" w:hAnsi="宋体" w:eastAsia="宋体" w:cs="宋体"/>
          <w:b w:val="0"/>
          <w:bCs w:val="0"/>
          <w:color w:val="auto"/>
          <w:sz w:val="28"/>
          <w:szCs w:val="28"/>
          <w:lang w:eastAsia="zh-CN"/>
        </w:rPr>
        <w:t>。</w:t>
      </w:r>
    </w:p>
    <w:p>
      <w:pPr>
        <w:spacing w:before="183" w:beforeLines="50" w:after="0" w:line="580" w:lineRule="exact"/>
        <w:jc w:val="both"/>
        <w:outlineLvl w:val="0"/>
        <w:rPr>
          <w:rFonts w:hint="eastAsia" w:ascii="宋体" w:hAnsi="宋体" w:eastAsia="宋体" w:cs="宋体"/>
          <w:b/>
          <w:color w:val="auto"/>
          <w:sz w:val="28"/>
          <w:szCs w:val="28"/>
          <w:lang w:val="en-US" w:eastAsia="zh-CN"/>
        </w:rPr>
      </w:pPr>
      <w:bookmarkStart w:id="5" w:name="_Hlk72887583"/>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主要经验做法</w:t>
      </w:r>
      <w:bookmarkEnd w:id="5"/>
      <w:r>
        <w:rPr>
          <w:rFonts w:hint="eastAsia" w:ascii="宋体" w:hAnsi="宋体" w:eastAsia="宋体" w:cs="宋体"/>
          <w:b/>
          <w:color w:val="auto"/>
          <w:sz w:val="28"/>
          <w:szCs w:val="28"/>
        </w:rPr>
        <w:t>、存在的问题及原因分析</w:t>
      </w:r>
    </w:p>
    <w:p>
      <w:pPr>
        <w:adjustRightInd w:val="0"/>
        <w:snapToGrid w:val="0"/>
        <w:spacing w:line="6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rPr>
        <w:t>主要经验做法</w:t>
      </w:r>
    </w:p>
    <w:p>
      <w:pPr>
        <w:adjustRightInd w:val="0"/>
        <w:snapToGrid w:val="0"/>
        <w:spacing w:line="600" w:lineRule="exact"/>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1）本部门创先争优有新举措。制定出台了年度优秀委员、优秀调研报告、优秀提案和提案承办先进单位评选及委员工作室考评、委员履职考核“三优两考”办法。进一步优化五个文明绩效考核细则，着力巩固省级文明标兵单位和民族团结进步先进单位创建成果，抓好中华优秀传统文化进机关、文明机关建设、平安建设等工作。</w:t>
      </w:r>
    </w:p>
    <w:p>
      <w:pPr>
        <w:adjustRightInd w:val="0"/>
        <w:snapToGrid w:val="0"/>
        <w:spacing w:line="600" w:lineRule="exact"/>
        <w:rPr>
          <w:rFonts w:hint="eastAsia" w:eastAsia="宋体"/>
          <w:color w:val="auto"/>
          <w:lang w:eastAsia="zh-CN"/>
        </w:rPr>
      </w:pP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2</w:t>
      </w:r>
      <w:r>
        <w:rPr>
          <w:rFonts w:hint="eastAsia" w:ascii="宋体" w:hAnsi="宋体" w:cs="宋体"/>
          <w:b w:val="0"/>
          <w:bCs w:val="0"/>
          <w:color w:val="auto"/>
          <w:sz w:val="28"/>
          <w:szCs w:val="28"/>
          <w:lang w:eastAsia="zh-CN"/>
        </w:rPr>
        <w:t>）本部门规范管理有新提升。加强工作统筹和调度，坚持月重点工作提示制度；修订完善了党组会议、主席会议、常委会议等工作规则和财务管理、经费管理、公务出差审批、公务车辆使用、请销假等制度，机关制度建设更加完善，工作运行更加规范。</w:t>
      </w:r>
    </w:p>
    <w:p>
      <w:pPr>
        <w:numPr>
          <w:ilvl w:val="0"/>
          <w:numId w:val="0"/>
        </w:num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kern w:val="2"/>
          <w:sz w:val="28"/>
          <w:szCs w:val="28"/>
          <w:lang w:val="en-US" w:eastAsia="zh-CN" w:bidi="ar-SA"/>
        </w:rPr>
        <w:t>2</w:t>
      </w:r>
      <w:r>
        <w:rPr>
          <w:rFonts w:hint="eastAsia" w:ascii="宋体" w:hAnsi="宋体" w:cs="宋体"/>
          <w:b/>
          <w:color w:val="auto"/>
          <w:kern w:val="2"/>
          <w:sz w:val="28"/>
          <w:szCs w:val="28"/>
          <w:lang w:val="en-US" w:eastAsia="zh-CN" w:bidi="ar-SA"/>
        </w:rPr>
        <w:t>.</w:t>
      </w:r>
      <w:r>
        <w:rPr>
          <w:rFonts w:hint="eastAsia" w:ascii="宋体" w:hAnsi="宋体" w:eastAsia="宋体" w:cs="宋体"/>
          <w:b/>
          <w:color w:val="auto"/>
          <w:sz w:val="28"/>
          <w:szCs w:val="28"/>
        </w:rPr>
        <w:t>存在的问题</w:t>
      </w:r>
    </w:p>
    <w:p>
      <w:pPr>
        <w:numPr>
          <w:ilvl w:val="0"/>
          <w:numId w:val="5"/>
        </w:numPr>
        <w:spacing w:before="183" w:beforeLines="50" w:after="0" w:line="580" w:lineRule="exact"/>
        <w:jc w:val="both"/>
        <w:outlineLvl w:val="0"/>
        <w:rPr>
          <w:rFonts w:hint="eastAsia"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年初</w:t>
      </w:r>
      <w:r>
        <w:rPr>
          <w:rFonts w:hint="eastAsia" w:ascii="宋体" w:hAnsi="宋体" w:eastAsia="宋体" w:cs="宋体"/>
          <w:b w:val="0"/>
          <w:bCs/>
          <w:color w:val="auto"/>
          <w:sz w:val="28"/>
          <w:szCs w:val="28"/>
          <w:lang w:val="en-US" w:eastAsia="zh-CN"/>
        </w:rPr>
        <w:t>资金预算</w:t>
      </w:r>
      <w:r>
        <w:rPr>
          <w:rFonts w:hint="eastAsia" w:ascii="宋体" w:hAnsi="宋体" w:cs="宋体"/>
          <w:b w:val="0"/>
          <w:bCs/>
          <w:color w:val="auto"/>
          <w:sz w:val="28"/>
          <w:szCs w:val="28"/>
          <w:lang w:val="en-US" w:eastAsia="zh-CN"/>
        </w:rPr>
        <w:t>编制和</w:t>
      </w:r>
      <w:r>
        <w:rPr>
          <w:rFonts w:hint="eastAsia" w:ascii="宋体" w:hAnsi="宋体" w:eastAsia="宋体" w:cs="宋体"/>
          <w:b w:val="0"/>
          <w:bCs/>
          <w:color w:val="auto"/>
          <w:sz w:val="28"/>
          <w:szCs w:val="28"/>
          <w:lang w:val="en-US" w:eastAsia="zh-CN"/>
        </w:rPr>
        <w:t>统筹管理使用有待</w:t>
      </w:r>
      <w:r>
        <w:rPr>
          <w:rFonts w:hint="eastAsia" w:ascii="宋体" w:hAnsi="宋体" w:cs="宋体"/>
          <w:b w:val="0"/>
          <w:bCs/>
          <w:color w:val="auto"/>
          <w:sz w:val="28"/>
          <w:szCs w:val="28"/>
          <w:lang w:val="en-US" w:eastAsia="zh-CN"/>
        </w:rPr>
        <w:t>进一步</w:t>
      </w:r>
      <w:r>
        <w:rPr>
          <w:rFonts w:hint="eastAsia" w:ascii="宋体" w:hAnsi="宋体" w:eastAsia="宋体" w:cs="宋体"/>
          <w:b w:val="0"/>
          <w:bCs/>
          <w:color w:val="auto"/>
          <w:sz w:val="28"/>
          <w:szCs w:val="28"/>
          <w:lang w:val="en-US" w:eastAsia="zh-CN"/>
        </w:rPr>
        <w:t>加强。</w:t>
      </w:r>
      <w:r>
        <w:rPr>
          <w:rFonts w:hint="eastAsia" w:ascii="宋体" w:hAnsi="宋体" w:cs="宋体"/>
          <w:b w:val="0"/>
          <w:bCs/>
          <w:color w:val="auto"/>
          <w:sz w:val="28"/>
          <w:szCs w:val="28"/>
          <w:lang w:val="en-US" w:eastAsia="zh-CN"/>
        </w:rPr>
        <w:t>受</w:t>
      </w:r>
      <w:r>
        <w:rPr>
          <w:rFonts w:hint="eastAsia" w:ascii="宋体" w:hAnsi="宋体" w:eastAsia="宋体" w:cs="宋体"/>
          <w:b w:val="0"/>
          <w:bCs/>
          <w:color w:val="auto"/>
          <w:sz w:val="28"/>
          <w:szCs w:val="28"/>
          <w:lang w:val="en-US" w:eastAsia="zh-CN"/>
        </w:rPr>
        <w:t>各种客观因素限制，预算资金支出进度不均衡</w:t>
      </w:r>
      <w:r>
        <w:rPr>
          <w:rFonts w:hint="eastAsia" w:ascii="宋体" w:hAnsi="宋体" w:cs="宋体"/>
          <w:b w:val="0"/>
          <w:bCs/>
          <w:color w:val="auto"/>
          <w:sz w:val="28"/>
          <w:szCs w:val="28"/>
          <w:lang w:val="en-US" w:eastAsia="zh-CN"/>
        </w:rPr>
        <w:t>，个别预算项目超出年初预算较大。</w:t>
      </w:r>
    </w:p>
    <w:p>
      <w:pPr>
        <w:numPr>
          <w:ilvl w:val="0"/>
          <w:numId w:val="5"/>
        </w:numPr>
        <w:spacing w:before="183" w:beforeLines="50" w:after="0" w:line="580" w:lineRule="exact"/>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部门</w:t>
      </w:r>
      <w:r>
        <w:rPr>
          <w:rFonts w:hint="eastAsia" w:ascii="宋体" w:hAnsi="宋体" w:eastAsia="宋体" w:cs="宋体"/>
          <w:b w:val="0"/>
          <w:bCs/>
          <w:color w:val="auto"/>
          <w:sz w:val="28"/>
          <w:szCs w:val="28"/>
        </w:rPr>
        <w:t>绩效目标设定的科学性、时效性有待</w:t>
      </w:r>
      <w:r>
        <w:rPr>
          <w:rFonts w:hint="eastAsia" w:ascii="宋体" w:hAnsi="宋体" w:cs="宋体"/>
          <w:b w:val="0"/>
          <w:bCs/>
          <w:color w:val="auto"/>
          <w:sz w:val="28"/>
          <w:szCs w:val="28"/>
          <w:lang w:val="en-US" w:eastAsia="zh-CN"/>
        </w:rPr>
        <w:t>进一步</w:t>
      </w:r>
      <w:r>
        <w:rPr>
          <w:rFonts w:hint="eastAsia" w:ascii="宋体" w:hAnsi="宋体" w:eastAsia="宋体" w:cs="宋体"/>
          <w:b w:val="0"/>
          <w:bCs/>
          <w:color w:val="auto"/>
          <w:sz w:val="28"/>
          <w:szCs w:val="28"/>
        </w:rPr>
        <w:t>加强；</w:t>
      </w:r>
      <w:r>
        <w:rPr>
          <w:rFonts w:hint="eastAsia" w:ascii="宋体" w:hAnsi="宋体" w:eastAsia="宋体" w:cs="宋体"/>
          <w:b w:val="0"/>
          <w:bCs/>
          <w:color w:val="auto"/>
          <w:sz w:val="28"/>
          <w:szCs w:val="28"/>
          <w:lang w:val="en-US" w:eastAsia="zh-CN"/>
        </w:rPr>
        <w:t>部门年度整体目标设置</w:t>
      </w:r>
      <w:r>
        <w:rPr>
          <w:rFonts w:hint="eastAsia" w:ascii="宋体" w:hAnsi="宋体" w:cs="宋体"/>
          <w:b w:val="0"/>
          <w:bCs/>
          <w:color w:val="auto"/>
          <w:sz w:val="28"/>
          <w:szCs w:val="28"/>
          <w:lang w:val="en-US" w:eastAsia="zh-CN"/>
        </w:rPr>
        <w:t>在</w:t>
      </w:r>
      <w:r>
        <w:rPr>
          <w:rFonts w:hint="eastAsia" w:ascii="宋体" w:hAnsi="宋体" w:eastAsia="宋体" w:cs="宋体"/>
          <w:b w:val="0"/>
          <w:bCs/>
          <w:color w:val="auto"/>
          <w:sz w:val="28"/>
          <w:szCs w:val="28"/>
          <w:lang w:val="en-US" w:eastAsia="zh-CN"/>
        </w:rPr>
        <w:t>数量、质量指标</w:t>
      </w:r>
      <w:r>
        <w:rPr>
          <w:rFonts w:hint="eastAsia" w:ascii="宋体" w:hAnsi="宋体" w:cs="宋体"/>
          <w:b w:val="0"/>
          <w:bCs/>
          <w:color w:val="auto"/>
          <w:sz w:val="28"/>
          <w:szCs w:val="28"/>
          <w:lang w:val="en-US" w:eastAsia="zh-CN"/>
        </w:rPr>
        <w:t>上有了一定的进度，但个别指标设置与实际工作有一定的距离，还需要进一步加强</w:t>
      </w:r>
      <w:r>
        <w:rPr>
          <w:rFonts w:hint="eastAsia" w:ascii="宋体" w:hAnsi="宋体" w:eastAsia="宋体" w:cs="宋体"/>
          <w:b w:val="0"/>
          <w:bCs/>
          <w:color w:val="auto"/>
          <w:sz w:val="28"/>
          <w:szCs w:val="28"/>
          <w:lang w:val="en-US" w:eastAsia="zh-CN"/>
        </w:rPr>
        <w:t>，部门指标体系不稳定，</w:t>
      </w:r>
      <w:r>
        <w:rPr>
          <w:rFonts w:hint="eastAsia" w:ascii="宋体" w:hAnsi="宋体" w:cs="宋体"/>
          <w:b w:val="0"/>
          <w:bCs/>
          <w:color w:val="auto"/>
          <w:sz w:val="28"/>
          <w:szCs w:val="28"/>
          <w:lang w:val="en-US" w:eastAsia="zh-CN"/>
        </w:rPr>
        <w:t>本单位</w:t>
      </w:r>
      <w:r>
        <w:rPr>
          <w:rFonts w:hint="eastAsia" w:ascii="宋体" w:hAnsi="宋体" w:eastAsia="宋体" w:cs="宋体"/>
          <w:b w:val="0"/>
          <w:bCs/>
          <w:color w:val="auto"/>
          <w:sz w:val="28"/>
          <w:szCs w:val="28"/>
          <w:lang w:val="en-US" w:eastAsia="zh-CN"/>
        </w:rPr>
        <w:t>无法形成</w:t>
      </w:r>
      <w:r>
        <w:rPr>
          <w:rFonts w:hint="eastAsia" w:ascii="宋体" w:hAnsi="宋体" w:cs="宋体"/>
          <w:b w:val="0"/>
          <w:bCs/>
          <w:color w:val="auto"/>
          <w:sz w:val="28"/>
          <w:szCs w:val="28"/>
          <w:lang w:val="en-US" w:eastAsia="zh-CN"/>
        </w:rPr>
        <w:t>较为</w:t>
      </w:r>
      <w:r>
        <w:rPr>
          <w:rFonts w:hint="eastAsia" w:ascii="宋体" w:hAnsi="宋体" w:eastAsia="宋体" w:cs="宋体"/>
          <w:b w:val="0"/>
          <w:bCs/>
          <w:color w:val="auto"/>
          <w:sz w:val="28"/>
          <w:szCs w:val="28"/>
          <w:lang w:val="en-US" w:eastAsia="zh-CN"/>
        </w:rPr>
        <w:t>固定的纵向对比分析</w:t>
      </w:r>
      <w:r>
        <w:rPr>
          <w:rFonts w:hint="eastAsia" w:ascii="宋体" w:hAnsi="宋体" w:cs="宋体"/>
          <w:b w:val="0"/>
          <w:bCs/>
          <w:color w:val="auto"/>
          <w:sz w:val="28"/>
          <w:szCs w:val="28"/>
          <w:lang w:val="en-US" w:eastAsia="zh-CN"/>
        </w:rPr>
        <w:t>，与其他地区相关部门无法进行</w:t>
      </w:r>
      <w:r>
        <w:rPr>
          <w:rFonts w:hint="eastAsia" w:ascii="宋体" w:hAnsi="宋体" w:eastAsia="宋体" w:cs="宋体"/>
          <w:b w:val="0"/>
          <w:bCs/>
          <w:color w:val="auto"/>
          <w:sz w:val="28"/>
          <w:szCs w:val="28"/>
          <w:lang w:val="en-US" w:eastAsia="zh-CN"/>
        </w:rPr>
        <w:t>横向</w:t>
      </w:r>
      <w:r>
        <w:rPr>
          <w:rFonts w:hint="eastAsia" w:ascii="宋体" w:hAnsi="宋体" w:cs="宋体"/>
          <w:b w:val="0"/>
          <w:bCs/>
          <w:color w:val="auto"/>
          <w:sz w:val="28"/>
          <w:szCs w:val="28"/>
          <w:lang w:val="en-US" w:eastAsia="zh-CN"/>
        </w:rPr>
        <w:t>比较分析。</w:t>
      </w:r>
    </w:p>
    <w:p>
      <w:pPr>
        <w:numPr>
          <w:ilvl w:val="0"/>
          <w:numId w:val="0"/>
        </w:numPr>
        <w:spacing w:before="183" w:beforeLines="50" w:after="0" w:line="580" w:lineRule="exact"/>
        <w:ind w:left="0" w:leftChars="0" w:firstLine="0" w:firstLineChars="0"/>
        <w:jc w:val="both"/>
        <w:outlineLvl w:val="0"/>
        <w:rPr>
          <w:rFonts w:hint="eastAsia" w:ascii="宋体" w:hAnsi="宋体" w:eastAsia="宋体" w:cs="宋体"/>
          <w:b/>
          <w:color w:val="auto"/>
          <w:sz w:val="28"/>
          <w:szCs w:val="28"/>
        </w:rPr>
      </w:pPr>
      <w:r>
        <w:rPr>
          <w:rFonts w:hint="eastAsia" w:ascii="宋体" w:hAnsi="宋体" w:eastAsia="宋体" w:cs="宋体"/>
          <w:b/>
          <w:color w:val="auto"/>
          <w:kern w:val="2"/>
          <w:sz w:val="28"/>
          <w:szCs w:val="28"/>
          <w:lang w:val="en-US" w:eastAsia="zh-CN" w:bidi="ar-SA"/>
        </w:rPr>
        <w:t>3</w:t>
      </w:r>
      <w:r>
        <w:rPr>
          <w:rFonts w:hint="eastAsia" w:ascii="宋体" w:hAnsi="宋体" w:cs="宋体"/>
          <w:b/>
          <w:color w:val="auto"/>
          <w:kern w:val="2"/>
          <w:sz w:val="28"/>
          <w:szCs w:val="28"/>
          <w:lang w:val="en-US" w:eastAsia="zh-CN" w:bidi="ar-SA"/>
        </w:rPr>
        <w:t>.</w:t>
      </w:r>
      <w:r>
        <w:rPr>
          <w:rFonts w:hint="eastAsia" w:ascii="宋体" w:hAnsi="宋体" w:eastAsia="宋体" w:cs="宋体"/>
          <w:b/>
          <w:color w:val="auto"/>
          <w:sz w:val="28"/>
          <w:szCs w:val="28"/>
        </w:rPr>
        <w:t>原因分析</w:t>
      </w:r>
    </w:p>
    <w:p>
      <w:pPr>
        <w:numPr>
          <w:ilvl w:val="0"/>
          <w:numId w:val="0"/>
        </w:numPr>
        <w:spacing w:before="183" w:beforeLines="50" w:after="0" w:line="580" w:lineRule="exact"/>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（1）部门绩效管理理念</w:t>
      </w:r>
      <w:r>
        <w:rPr>
          <w:rFonts w:hint="eastAsia" w:ascii="宋体" w:hAnsi="宋体" w:cs="宋体"/>
          <w:b w:val="0"/>
          <w:bCs/>
          <w:color w:val="auto"/>
          <w:sz w:val="28"/>
          <w:szCs w:val="28"/>
          <w:lang w:val="en-US" w:eastAsia="zh-CN"/>
        </w:rPr>
        <w:t>有待进一步加</w:t>
      </w:r>
      <w:r>
        <w:rPr>
          <w:rFonts w:hint="eastAsia" w:ascii="宋体" w:hAnsi="宋体" w:eastAsia="宋体" w:cs="宋体"/>
          <w:b w:val="0"/>
          <w:bCs/>
          <w:color w:val="auto"/>
          <w:sz w:val="28"/>
          <w:szCs w:val="28"/>
          <w:lang w:val="en-US" w:eastAsia="zh-CN"/>
        </w:rPr>
        <w:t>强，预算绩效管理主体责任意识有待</w:t>
      </w:r>
      <w:r>
        <w:rPr>
          <w:rFonts w:hint="eastAsia" w:ascii="宋体" w:hAnsi="宋体" w:cs="宋体"/>
          <w:b w:val="0"/>
          <w:bCs/>
          <w:color w:val="auto"/>
          <w:sz w:val="28"/>
          <w:szCs w:val="28"/>
          <w:lang w:val="en-US" w:eastAsia="zh-CN"/>
        </w:rPr>
        <w:t>进一步</w:t>
      </w:r>
      <w:r>
        <w:rPr>
          <w:rFonts w:hint="eastAsia" w:ascii="宋体" w:hAnsi="宋体" w:eastAsia="宋体" w:cs="宋体"/>
          <w:b w:val="0"/>
          <w:bCs/>
          <w:color w:val="auto"/>
          <w:sz w:val="28"/>
          <w:szCs w:val="28"/>
          <w:lang w:val="en-US" w:eastAsia="zh-CN"/>
        </w:rPr>
        <w:t>提高，</w:t>
      </w:r>
      <w:r>
        <w:rPr>
          <w:rFonts w:hint="eastAsia" w:ascii="宋体" w:hAnsi="宋体" w:cs="宋体"/>
          <w:b w:val="0"/>
          <w:bCs/>
          <w:color w:val="auto"/>
          <w:sz w:val="28"/>
          <w:szCs w:val="28"/>
          <w:lang w:val="en-US" w:eastAsia="zh-CN"/>
        </w:rPr>
        <w:t>预算</w:t>
      </w:r>
      <w:r>
        <w:rPr>
          <w:rFonts w:hint="eastAsia" w:ascii="宋体" w:hAnsi="宋体" w:eastAsia="宋体" w:cs="宋体"/>
          <w:b w:val="0"/>
          <w:bCs/>
          <w:color w:val="auto"/>
          <w:sz w:val="28"/>
          <w:szCs w:val="28"/>
          <w:lang w:val="en-US" w:eastAsia="zh-CN"/>
        </w:rPr>
        <w:t>绩效管理工作</w:t>
      </w:r>
      <w:r>
        <w:rPr>
          <w:rFonts w:hint="eastAsia" w:ascii="宋体" w:hAnsi="宋体" w:cs="宋体"/>
          <w:b w:val="0"/>
          <w:bCs/>
          <w:color w:val="auto"/>
          <w:sz w:val="28"/>
          <w:szCs w:val="28"/>
          <w:lang w:val="en-US" w:eastAsia="zh-CN"/>
        </w:rPr>
        <w:t>与预算的年度目标未纳入部门整体绩效管理，未能与工资绩效进行挂钩</w:t>
      </w:r>
      <w:r>
        <w:rPr>
          <w:rFonts w:hint="eastAsia" w:ascii="宋体" w:hAnsi="宋体" w:eastAsia="宋体" w:cs="宋体"/>
          <w:b w:val="0"/>
          <w:bCs/>
          <w:color w:val="auto"/>
          <w:sz w:val="28"/>
          <w:szCs w:val="28"/>
          <w:lang w:val="en-US" w:eastAsia="zh-CN"/>
        </w:rPr>
        <w:t>。</w:t>
      </w:r>
    </w:p>
    <w:p>
      <w:pPr>
        <w:numPr>
          <w:ilvl w:val="0"/>
          <w:numId w:val="0"/>
        </w:numPr>
        <w:spacing w:before="183" w:beforeLines="50" w:after="0" w:line="580" w:lineRule="exact"/>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（2）因本部门不断尝试设置部门特定的指标，造成部门指标体系不断变化；部门目标设定经验不足，绩效评价指标知识缺乏和学习不够。</w:t>
      </w:r>
    </w:p>
    <w:p>
      <w:p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九、有关建议</w:t>
      </w:r>
    </w:p>
    <w:p>
      <w:pPr>
        <w:spacing w:before="183" w:beforeLines="50" w:after="0" w:line="580" w:lineRule="exact"/>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t>加强预算编制。</w:t>
      </w:r>
      <w:r>
        <w:rPr>
          <w:rFonts w:hint="eastAsia" w:ascii="宋体" w:hAnsi="宋体" w:cs="宋体"/>
          <w:b w:val="0"/>
          <w:bCs/>
          <w:color w:val="auto"/>
          <w:sz w:val="28"/>
          <w:szCs w:val="28"/>
          <w:lang w:val="en-US" w:eastAsia="zh-CN"/>
        </w:rPr>
        <w:t>进一步</w:t>
      </w:r>
      <w:r>
        <w:rPr>
          <w:rFonts w:hint="eastAsia" w:ascii="宋体" w:hAnsi="宋体" w:eastAsia="宋体" w:cs="宋体"/>
          <w:b w:val="0"/>
          <w:bCs/>
          <w:color w:val="auto"/>
          <w:sz w:val="28"/>
          <w:szCs w:val="28"/>
          <w:lang w:val="en-US" w:eastAsia="zh-CN"/>
        </w:rPr>
        <w:t>细化部门预算编制，提高预算编制的科学性、合理性和严谨性。</w:t>
      </w:r>
    </w:p>
    <w:p>
      <w:pPr>
        <w:spacing w:before="183" w:beforeLines="50" w:after="0" w:line="580" w:lineRule="exact"/>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t>要根据年度工作计划谋划好年度部门整体绩效目标、数量、质量、成本等目标，修订完善本部门目标指标体系</w:t>
      </w:r>
      <w:r>
        <w:rPr>
          <w:rFonts w:hint="eastAsia" w:ascii="宋体" w:hAnsi="宋体" w:cs="宋体"/>
          <w:b w:val="0"/>
          <w:bCs/>
          <w:color w:val="auto"/>
          <w:sz w:val="28"/>
          <w:szCs w:val="28"/>
          <w:lang w:val="en-US" w:eastAsia="zh-CN"/>
        </w:rPr>
        <w:t>，部门目标体系逐步固化，但可根据实际进行一定的调整</w:t>
      </w:r>
      <w:r>
        <w:rPr>
          <w:rFonts w:hint="eastAsia" w:ascii="宋体" w:hAnsi="宋体" w:eastAsia="宋体" w:cs="宋体"/>
          <w:b w:val="0"/>
          <w:bCs/>
          <w:color w:val="auto"/>
          <w:sz w:val="28"/>
          <w:szCs w:val="28"/>
          <w:lang w:val="en-US" w:eastAsia="zh-CN"/>
        </w:rPr>
        <w:t>。</w:t>
      </w:r>
    </w:p>
    <w:p>
      <w:p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十、绩效自评结果拟应用和公开情况</w:t>
      </w:r>
    </w:p>
    <w:p>
      <w:pPr>
        <w:spacing w:before="183" w:beforeLines="50" w:after="0" w:line="580" w:lineRule="exact"/>
        <w:ind w:firstLine="560" w:firstLineChars="200"/>
        <w:jc w:val="both"/>
        <w:outlineLvl w:val="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本部门重视预算绩效评价结果的应用和公开。</w:t>
      </w:r>
      <w:r>
        <w:rPr>
          <w:rFonts w:hint="eastAsia" w:ascii="宋体" w:hAnsi="宋体" w:eastAsia="宋体" w:cs="宋体"/>
          <w:color w:val="auto"/>
          <w:sz w:val="28"/>
          <w:szCs w:val="28"/>
        </w:rPr>
        <w:t>按照规定的</w:t>
      </w:r>
      <w:r>
        <w:rPr>
          <w:rFonts w:hint="eastAsia" w:ascii="宋体" w:hAnsi="宋体" w:eastAsia="宋体" w:cs="宋体"/>
          <w:color w:val="auto"/>
          <w:sz w:val="28"/>
          <w:szCs w:val="28"/>
          <w:lang w:val="en-US" w:eastAsia="zh-CN"/>
        </w:rPr>
        <w:t>统一时点</w:t>
      </w:r>
      <w:r>
        <w:rPr>
          <w:rFonts w:hint="eastAsia" w:ascii="宋体" w:hAnsi="宋体" w:eastAsia="宋体" w:cs="宋体"/>
          <w:color w:val="auto"/>
          <w:sz w:val="28"/>
          <w:szCs w:val="28"/>
        </w:rPr>
        <w:t>和要求报送财政部门审核，针对财政部门的反馈意见，认真抓好整改落实，并将部门预算绩效评价结果进行公开公示，接受社会监督。202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年将进一步加大预算绩效管理力度，扎实开展预算绩效管理工作，将预算绩效自评价结果作为改进预算管理和安排以后年度预算的重要依据。</w:t>
      </w:r>
    </w:p>
    <w:p>
      <w:pPr>
        <w:spacing w:before="183" w:beforeLines="50" w:after="0" w:line="580" w:lineRule="exact"/>
        <w:jc w:val="both"/>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十一、其他需要说明的问题</w:t>
      </w:r>
    </w:p>
    <w:p>
      <w:pPr>
        <w:spacing w:line="6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无</w:t>
      </w:r>
      <w:bookmarkStart w:id="6" w:name="_Toc7386"/>
      <w:bookmarkStart w:id="7" w:name="_Toc5751"/>
      <w:bookmarkStart w:id="8" w:name="_Toc5069"/>
    </w:p>
    <w:p>
      <w:pPr>
        <w:spacing w:after="0" w:line="580" w:lineRule="exact"/>
        <w:jc w:val="both"/>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pPr>
        <w:spacing w:before="183" w:beforeLines="50" w:after="0" w:line="580" w:lineRule="exact"/>
        <w:ind w:left="0" w:leftChars="0" w:firstLine="0" w:firstLineChars="0"/>
        <w:jc w:val="both"/>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 xml:space="preserve">1 </w:t>
      </w:r>
      <w:r>
        <w:rPr>
          <w:rFonts w:hint="eastAsia" w:ascii="宋体" w:hAnsi="宋体" w:eastAsia="宋体" w:cs="宋体"/>
          <w:color w:val="auto"/>
          <w:sz w:val="28"/>
          <w:szCs w:val="28"/>
        </w:rPr>
        <w:t>州级预算部门整体支出绩效评价基础数据表</w:t>
      </w:r>
    </w:p>
    <w:p>
      <w:pPr>
        <w:keepNext w:val="0"/>
        <w:keepLines w:val="0"/>
        <w:pageBreakBefore w:val="0"/>
        <w:widowControl/>
        <w:kinsoku/>
        <w:wordWrap/>
        <w:overflowPunct/>
        <w:topLinePunct w:val="0"/>
        <w:autoSpaceDE/>
        <w:autoSpaceDN/>
        <w:bidi w:val="0"/>
        <w:adjustRightInd/>
        <w:snapToGrid/>
        <w:spacing w:after="0" w:line="580" w:lineRule="exact"/>
        <w:ind w:left="0" w:leftChars="0" w:firstLine="0" w:firstLineChars="0"/>
        <w:jc w:val="both"/>
        <w:textAlignment w:val="auto"/>
        <w:outlineLvl w:val="0"/>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 xml:space="preserve">2 </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bookmarkEnd w:id="6"/>
      <w:bookmarkEnd w:id="7"/>
      <w:bookmarkEnd w:id="8"/>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州级预算部门整体支出绩效自评表</w:t>
      </w:r>
    </w:p>
    <w:p>
      <w:pPr>
        <w:spacing w:after="0" w:line="580" w:lineRule="exact"/>
        <w:outlineLvl w:val="0"/>
        <w:rPr>
          <w:rFonts w:hint="eastAsia" w:ascii="宋体" w:hAnsi="宋体" w:eastAsia="宋体" w:cs="宋体"/>
          <w:color w:val="auto"/>
          <w:sz w:val="28"/>
          <w:szCs w:val="28"/>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3 湘西州政协办公室关于2021年度整体支出绩效评价的通知</w:t>
      </w:r>
      <w:r>
        <w:rPr>
          <w:rFonts w:hint="eastAsia" w:ascii="宋体" w:hAnsi="宋体" w:eastAsia="宋体" w:cs="宋体"/>
          <w:color w:val="auto"/>
          <w:sz w:val="28"/>
          <w:szCs w:val="28"/>
        </w:rPr>
        <w:t xml:space="preserve">　　　　　　　　　　　          </w:t>
      </w:r>
    </w:p>
    <w:p>
      <w:pPr>
        <w:spacing w:after="0" w:line="580" w:lineRule="exact"/>
        <w:jc w:val="both"/>
        <w:outlineLvl w:val="0"/>
        <w:rPr>
          <w:rFonts w:hint="eastAsia" w:ascii="宋体" w:hAnsi="宋体" w:eastAsia="宋体" w:cs="宋体"/>
          <w:color w:val="auto"/>
          <w:sz w:val="28"/>
          <w:szCs w:val="28"/>
        </w:rPr>
      </w:pPr>
    </w:p>
    <w:p>
      <w:pPr>
        <w:spacing w:after="0" w:line="580" w:lineRule="exact"/>
        <w:jc w:val="center"/>
        <w:outlineLvl w:val="0"/>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政协湘西自治州委员办公室</w:t>
      </w:r>
    </w:p>
    <w:p>
      <w:pPr>
        <w:spacing w:after="0" w:line="580" w:lineRule="exact"/>
        <w:jc w:val="both"/>
        <w:outlineLvl w:val="0"/>
        <w:rPr>
          <w:rFonts w:hint="eastAsia" w:ascii="宋体" w:hAnsi="宋体" w:eastAsia="宋体" w:cs="宋体"/>
          <w:b/>
          <w:bCs/>
          <w:color w:val="auto"/>
          <w:sz w:val="28"/>
          <w:szCs w:val="28"/>
        </w:rPr>
        <w:sectPr>
          <w:footerReference r:id="rId3" w:type="default"/>
          <w:pgSz w:w="11906" w:h="16838"/>
          <w:pgMar w:top="1440" w:right="1289" w:bottom="1702" w:left="1797" w:header="709" w:footer="709" w:gutter="0"/>
          <w:pgNumType w:start="1"/>
          <w:cols w:space="0" w:num="1"/>
          <w:docGrid w:type="lines" w:linePitch="367" w:charSpace="0"/>
        </w:sectPr>
      </w:pPr>
      <w:r>
        <w:rPr>
          <w:rFonts w:hint="eastAsia" w:ascii="宋体" w:hAnsi="宋体" w:eastAsia="宋体" w:cs="宋体"/>
          <w:b/>
          <w:bCs/>
          <w:color w:val="auto"/>
          <w:sz w:val="28"/>
          <w:szCs w:val="28"/>
        </w:rPr>
        <w:t xml:space="preserve">                                    二〇二</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十</w:t>
      </w:r>
      <w:r>
        <w:rPr>
          <w:rFonts w:hint="eastAsia" w:ascii="宋体" w:hAnsi="宋体" w:eastAsia="宋体" w:cs="宋体"/>
          <w:b/>
          <w:bCs/>
          <w:color w:val="auto"/>
          <w:sz w:val="28"/>
          <w:szCs w:val="28"/>
        </w:rPr>
        <w:t>日</w:t>
      </w:r>
    </w:p>
    <w:p>
      <w:pPr>
        <w:jc w:val="center"/>
        <w:rPr>
          <w:rFonts w:hint="eastAsia" w:ascii="方正小标宋简体" w:hAnsi="方正小标宋简体" w:eastAsia="方正小标宋简体" w:cs="方正小标宋简体"/>
          <w:b/>
          <w:bCs/>
          <w:color w:val="auto"/>
          <w:sz w:val="32"/>
          <w:szCs w:val="32"/>
        </w:rPr>
      </w:pPr>
      <w:r>
        <w:rPr>
          <w:rFonts w:ascii="黑体" w:hAnsi="黑体" w:eastAsia="黑体"/>
          <w:b/>
          <w:bCs/>
          <w:color w:val="auto"/>
          <w:sz w:val="32"/>
          <w:szCs w:val="32"/>
        </w:rPr>
        <w:t>附件</w:t>
      </w:r>
      <w:r>
        <w:rPr>
          <w:rFonts w:hint="eastAsia" w:ascii="黑体" w:hAnsi="黑体" w:eastAsia="黑体"/>
          <w:b/>
          <w:bCs/>
          <w:color w:val="auto"/>
          <w:sz w:val="32"/>
          <w:szCs w:val="32"/>
          <w:lang w:val="en-US" w:eastAsia="zh-CN"/>
        </w:rPr>
        <w:t>1</w:t>
      </w:r>
      <w:r>
        <w:rPr>
          <w:rFonts w:hint="eastAsia" w:ascii="黑体" w:hAnsi="黑体" w:eastAsia="黑体"/>
          <w:b/>
          <w:bCs/>
          <w:color w:val="auto"/>
          <w:sz w:val="32"/>
          <w:szCs w:val="32"/>
        </w:rPr>
        <w:t>：</w:t>
      </w:r>
      <w:r>
        <w:rPr>
          <w:rFonts w:hint="eastAsia" w:eastAsia="方正小标宋简体" w:cs="方正小标宋简体"/>
          <w:b/>
          <w:bCs/>
          <w:color w:val="auto"/>
          <w:sz w:val="32"/>
          <w:szCs w:val="32"/>
        </w:rPr>
        <w:t>州级预算</w:t>
      </w:r>
      <w:r>
        <w:rPr>
          <w:rFonts w:hint="eastAsia" w:ascii="方正小标宋简体" w:hAnsi="方正小标宋简体" w:eastAsia="方正小标宋简体" w:cs="方正小标宋简体"/>
          <w:b/>
          <w:bCs/>
          <w:color w:val="auto"/>
          <w:sz w:val="32"/>
          <w:szCs w:val="32"/>
        </w:rPr>
        <w:t>部门整体支出绩效评价基础数据表</w:t>
      </w:r>
    </w:p>
    <w:p>
      <w:pPr>
        <w:spacing w:after="0" w:line="580" w:lineRule="exact"/>
        <w:jc w:val="right"/>
        <w:rPr>
          <w:rFonts w:ascii="宋体" w:hAnsi="宋体" w:eastAsia="宋体" w:cs="宋体"/>
          <w:b/>
          <w:bCs/>
          <w:color w:val="auto"/>
          <w:sz w:val="24"/>
          <w:szCs w:val="24"/>
        </w:rPr>
      </w:pPr>
      <w:r>
        <w:rPr>
          <w:rFonts w:hint="eastAsia" w:ascii="宋体" w:hAnsi="宋体" w:eastAsia="宋体" w:cs="宋体"/>
          <w:b/>
          <w:bCs/>
          <w:color w:val="auto"/>
          <w:sz w:val="24"/>
          <w:szCs w:val="24"/>
        </w:rPr>
        <w:t>单位：人、㎡、万元</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36"/>
        <w:gridCol w:w="493"/>
        <w:gridCol w:w="493"/>
        <w:gridCol w:w="1309"/>
        <w:gridCol w:w="1047"/>
        <w:gridCol w:w="849"/>
        <w:gridCol w:w="1596"/>
        <w:gridCol w:w="1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0" w:type="auto"/>
            <w:gridSpan w:val="2"/>
            <w:vMerge w:val="restart"/>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财政编制人员</w:t>
            </w:r>
          </w:p>
        </w:tc>
        <w:tc>
          <w:tcPr>
            <w:tcW w:w="0" w:type="auto"/>
            <w:gridSpan w:val="2"/>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202</w:t>
            </w:r>
            <w:r>
              <w:rPr>
                <w:rFonts w:hint="eastAsia" w:ascii="宋体" w:hAnsi="宋体" w:cs="宋体"/>
                <w:color w:val="auto"/>
                <w:kern w:val="2"/>
                <w:sz w:val="18"/>
                <w:szCs w:val="18"/>
                <w:lang w:val="en-US" w:eastAsia="zh-CN"/>
              </w:rPr>
              <w:t>2</w:t>
            </w:r>
            <w:r>
              <w:rPr>
                <w:rFonts w:hint="eastAsia" w:ascii="宋体" w:hAnsi="宋体" w:eastAsia="宋体" w:cs="宋体"/>
                <w:color w:val="auto"/>
                <w:kern w:val="2"/>
                <w:sz w:val="18"/>
                <w:szCs w:val="18"/>
              </w:rPr>
              <w:t>年编制数</w:t>
            </w:r>
          </w:p>
        </w:tc>
        <w:tc>
          <w:tcPr>
            <w:tcW w:w="0" w:type="auto"/>
            <w:gridSpan w:val="2"/>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20</w:t>
            </w:r>
            <w:r>
              <w:rPr>
                <w:rFonts w:hint="eastAsia" w:ascii="宋体" w:hAnsi="宋体" w:eastAsia="宋体" w:cs="宋体"/>
                <w:color w:val="auto"/>
                <w:kern w:val="2"/>
                <w:sz w:val="18"/>
                <w:szCs w:val="18"/>
                <w:lang w:val="en-US" w:eastAsia="zh-CN"/>
              </w:rPr>
              <w:t>2</w:t>
            </w:r>
            <w:r>
              <w:rPr>
                <w:rFonts w:hint="eastAsia" w:ascii="宋体" w:hAnsi="宋体" w:cs="宋体"/>
                <w:color w:val="auto"/>
                <w:kern w:val="2"/>
                <w:sz w:val="18"/>
                <w:szCs w:val="18"/>
                <w:lang w:val="en-US" w:eastAsia="zh-CN"/>
              </w:rPr>
              <w:t>2</w:t>
            </w:r>
            <w:r>
              <w:rPr>
                <w:rFonts w:hint="eastAsia" w:ascii="宋体" w:hAnsi="宋体" w:eastAsia="宋体" w:cs="宋体"/>
                <w:color w:val="auto"/>
                <w:kern w:val="2"/>
                <w:sz w:val="18"/>
                <w:szCs w:val="18"/>
              </w:rPr>
              <w:t>年实际在职人数</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控制率</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0" w:type="auto"/>
            <w:gridSpan w:val="2"/>
            <w:vMerge w:val="continue"/>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default" w:ascii="宋体" w:hAnsi="宋体" w:eastAsia="宋体" w:cs="宋体"/>
                <w:color w:val="auto"/>
                <w:kern w:val="2"/>
                <w:sz w:val="18"/>
                <w:szCs w:val="18"/>
                <w:lang w:val="en-US" w:eastAsia="zh-CN"/>
              </w:rPr>
              <w:t>6</w:t>
            </w:r>
            <w:r>
              <w:rPr>
                <w:rFonts w:hint="eastAsia" w:ascii="宋体" w:hAnsi="宋体" w:eastAsia="宋体" w:cs="宋体"/>
                <w:color w:val="auto"/>
                <w:kern w:val="2"/>
                <w:sz w:val="18"/>
                <w:szCs w:val="18"/>
                <w:lang w:val="en-US" w:eastAsia="zh-CN"/>
              </w:rPr>
              <w:t>1</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61</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经费控制情况</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w:t>
            </w:r>
            <w:r>
              <w:rPr>
                <w:rFonts w:hint="default" w:ascii="宋体" w:hAnsi="宋体" w:eastAsia="宋体" w:cs="宋体"/>
                <w:color w:val="auto"/>
                <w:kern w:val="2"/>
                <w:sz w:val="18"/>
                <w:szCs w:val="18"/>
                <w:lang w:val="en-US" w:eastAsia="zh-CN"/>
              </w:rPr>
              <w:t>0</w:t>
            </w:r>
            <w:r>
              <w:rPr>
                <w:rFonts w:hint="eastAsia" w:ascii="宋体" w:hAnsi="宋体" w:eastAsia="宋体" w:cs="宋体"/>
                <w:color w:val="auto"/>
                <w:kern w:val="2"/>
                <w:sz w:val="18"/>
                <w:szCs w:val="18"/>
                <w:lang w:val="en-US" w:eastAsia="zh-CN"/>
              </w:rPr>
              <w:t>2</w:t>
            </w:r>
            <w:r>
              <w:rPr>
                <w:rFonts w:hint="eastAsia" w:ascii="宋体" w:hAnsi="宋体" w:cs="宋体"/>
                <w:color w:val="auto"/>
                <w:kern w:val="2"/>
                <w:sz w:val="18"/>
                <w:szCs w:val="18"/>
                <w:lang w:val="en-US" w:eastAsia="zh-CN"/>
              </w:rPr>
              <w:t>1</w:t>
            </w:r>
            <w:r>
              <w:rPr>
                <w:rFonts w:hint="eastAsia" w:ascii="宋体" w:hAnsi="宋体" w:eastAsia="宋体" w:cs="宋体"/>
                <w:color w:val="auto"/>
                <w:kern w:val="2"/>
                <w:sz w:val="18"/>
                <w:szCs w:val="18"/>
                <w:lang w:val="en-US" w:eastAsia="zh-CN"/>
              </w:rPr>
              <w:t>年决算数</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w:t>
            </w:r>
            <w:r>
              <w:rPr>
                <w:rFonts w:hint="default" w:ascii="宋体" w:hAnsi="宋体" w:eastAsia="宋体" w:cs="宋体"/>
                <w:color w:val="auto"/>
                <w:kern w:val="2"/>
                <w:sz w:val="18"/>
                <w:szCs w:val="18"/>
                <w:lang w:val="en-US" w:eastAsia="zh-CN"/>
              </w:rPr>
              <w:t>0</w:t>
            </w:r>
            <w:r>
              <w:rPr>
                <w:rFonts w:hint="eastAsia" w:ascii="宋体" w:hAnsi="宋体" w:eastAsia="宋体" w:cs="宋体"/>
                <w:color w:val="auto"/>
                <w:kern w:val="2"/>
                <w:sz w:val="18"/>
                <w:szCs w:val="18"/>
                <w:lang w:val="en-US" w:eastAsia="zh-CN"/>
              </w:rPr>
              <w:t>2</w:t>
            </w:r>
            <w:r>
              <w:rPr>
                <w:rFonts w:hint="eastAsia" w:ascii="宋体" w:hAnsi="宋体" w:cs="宋体"/>
                <w:color w:val="auto"/>
                <w:kern w:val="2"/>
                <w:sz w:val="18"/>
                <w:szCs w:val="18"/>
                <w:lang w:val="en-US" w:eastAsia="zh-CN"/>
              </w:rPr>
              <w:t>2</w:t>
            </w:r>
            <w:r>
              <w:rPr>
                <w:rFonts w:hint="eastAsia" w:ascii="宋体" w:hAnsi="宋体" w:eastAsia="宋体" w:cs="宋体"/>
                <w:color w:val="auto"/>
                <w:kern w:val="2"/>
                <w:sz w:val="18"/>
                <w:szCs w:val="18"/>
                <w:lang w:val="en-US" w:eastAsia="zh-CN"/>
              </w:rPr>
              <w:t>年度预算数</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w:t>
            </w:r>
            <w:r>
              <w:rPr>
                <w:rFonts w:hint="default" w:ascii="宋体" w:hAnsi="宋体" w:eastAsia="宋体" w:cs="宋体"/>
                <w:color w:val="auto"/>
                <w:kern w:val="2"/>
                <w:sz w:val="18"/>
                <w:szCs w:val="18"/>
                <w:lang w:val="en-US" w:eastAsia="zh-CN"/>
              </w:rPr>
              <w:t>0</w:t>
            </w:r>
            <w:r>
              <w:rPr>
                <w:rFonts w:hint="eastAsia" w:ascii="宋体" w:hAnsi="宋体" w:eastAsia="宋体" w:cs="宋体"/>
                <w:color w:val="auto"/>
                <w:kern w:val="2"/>
                <w:sz w:val="18"/>
                <w:szCs w:val="18"/>
                <w:lang w:val="en-US" w:eastAsia="zh-CN"/>
              </w:rPr>
              <w:t>2</w:t>
            </w:r>
            <w:r>
              <w:rPr>
                <w:rFonts w:hint="eastAsia" w:ascii="宋体" w:hAnsi="宋体" w:cs="宋体"/>
                <w:color w:val="auto"/>
                <w:kern w:val="2"/>
                <w:sz w:val="18"/>
                <w:szCs w:val="18"/>
                <w:lang w:val="en-US" w:eastAsia="zh-CN"/>
              </w:rPr>
              <w:t>2</w:t>
            </w:r>
            <w:r>
              <w:rPr>
                <w:rFonts w:hint="eastAsia" w:ascii="宋体" w:hAnsi="宋体" w:eastAsia="宋体" w:cs="宋体"/>
                <w:color w:val="auto"/>
                <w:kern w:val="2"/>
                <w:sz w:val="18"/>
                <w:szCs w:val="18"/>
                <w:lang w:val="en-US" w:eastAsia="zh-CN"/>
              </w:rPr>
              <w:t>年决算数</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一、“三公”经费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56.95</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94.00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102.99</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1、公务用车购置和维护经费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48.50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69.00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99.53</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其中：公车购置</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52.36</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 xml:space="preserve">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公务用车运行费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48.50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69.00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47.16</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2、出国经费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3、公务接待</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8.44</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25.00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3.46</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二、基本支出</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1605.11</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highlight w:val="yellow"/>
                <w:lang w:val="en-US" w:eastAsia="zh-CN"/>
              </w:rPr>
            </w:pPr>
            <w:r>
              <w:rPr>
                <w:rFonts w:hint="eastAsia" w:ascii="宋体" w:hAnsi="宋体" w:cs="宋体"/>
                <w:color w:val="auto"/>
                <w:kern w:val="2"/>
                <w:sz w:val="18"/>
                <w:szCs w:val="18"/>
                <w:highlight w:val="yellow"/>
                <w:lang w:val="en-US" w:eastAsia="zh-CN"/>
              </w:rPr>
              <w:t>1103.35</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1835.09</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三、项目支出</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870.71</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highlight w:val="yellow"/>
                <w:lang w:val="en-US" w:eastAsia="zh-CN"/>
              </w:rPr>
            </w:pPr>
            <w:r>
              <w:rPr>
                <w:rFonts w:hint="eastAsia" w:ascii="宋体" w:hAnsi="宋体" w:cs="宋体"/>
                <w:color w:val="auto"/>
                <w:kern w:val="2"/>
                <w:sz w:val="18"/>
                <w:szCs w:val="18"/>
                <w:highlight w:val="yellow"/>
                <w:lang w:val="en-US" w:eastAsia="zh-CN"/>
              </w:rPr>
              <w:t>183.97</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1158.85</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其中：委员</w:t>
            </w:r>
            <w:r>
              <w:rPr>
                <w:rFonts w:hint="eastAsia" w:ascii="宋体" w:hAnsi="宋体" w:cs="宋体"/>
                <w:color w:val="auto"/>
                <w:kern w:val="2"/>
                <w:sz w:val="18"/>
                <w:szCs w:val="18"/>
                <w:lang w:val="en-US" w:eastAsia="zh-CN"/>
              </w:rPr>
              <w:t>调研视察</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240.95</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95.97</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196.77</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四、公用经费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235.54</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highlight w:val="yellow"/>
                <w:lang w:val="en-US" w:eastAsia="zh-CN"/>
              </w:rPr>
              <w:t>265.99</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207.75</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其中：办公费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30.15</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25</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29.89</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水费、电费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6.49</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2.45</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邮电费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2.46</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3</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2.31</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差旅费、其他交通费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51.90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55</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42.31</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物业管理费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会议费、培训费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7.17</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8.36</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2.48</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公务接待</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7.10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25</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2.87</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劳务费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11.80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7</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7.06</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工会经费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13.72</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6.69</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14.55</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福利费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10.95</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13.94</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20.74</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公务用车维护费</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3.35</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33.81</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419" w:firstLineChars="233"/>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其他商品和服务支出</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48.69</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52.71</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44.67</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四、政府采购金额</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60.10</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21.89</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106.54</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left"/>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 xml:space="preserve">五、部门基本支出预算调整 </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852.23</w:t>
            </w:r>
          </w:p>
        </w:tc>
        <w:tc>
          <w:tcPr>
            <w:tcW w:w="0" w:type="auto"/>
            <w:gridSpan w:val="2"/>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741.85</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0" w:type="auto"/>
            <w:vMerge w:val="restart"/>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r>
              <w:rPr>
                <w:rFonts w:hint="eastAsia" w:ascii="宋体" w:hAnsi="宋体" w:eastAsia="宋体" w:cs="宋体"/>
                <w:color w:val="auto"/>
                <w:kern w:val="2"/>
                <w:sz w:val="18"/>
                <w:szCs w:val="18"/>
                <w:lang w:val="en-US" w:eastAsia="zh-CN"/>
              </w:rPr>
              <w:t>六、楼堂馆所控制情况</w:t>
            </w:r>
          </w:p>
        </w:tc>
        <w:tc>
          <w:tcPr>
            <w:tcW w:w="0" w:type="auto"/>
            <w:gridSpan w:val="2"/>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批复规模㎡</w:t>
            </w:r>
          </w:p>
        </w:tc>
        <w:tc>
          <w:tcPr>
            <w:tcW w:w="0" w:type="auto"/>
            <w:tcBorders>
              <w:lef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实际规模㎡</w:t>
            </w:r>
          </w:p>
        </w:tc>
        <w:tc>
          <w:tcPr>
            <w:tcW w:w="0" w:type="auto"/>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规模控制率</w:t>
            </w:r>
          </w:p>
        </w:tc>
        <w:tc>
          <w:tcPr>
            <w:tcW w:w="0" w:type="auto"/>
            <w:tcBorders>
              <w:lef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预算投资</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实际投资</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rPr>
            </w:pPr>
            <w:r>
              <w:rPr>
                <w:rFonts w:hint="eastAsia" w:ascii="宋体" w:hAnsi="宋体" w:eastAsia="宋体" w:cs="宋体"/>
                <w:color w:val="auto"/>
                <w:kern w:val="2"/>
                <w:sz w:val="18"/>
                <w:szCs w:val="18"/>
              </w:rPr>
              <w:t>投资概算控制率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rPr>
        <w:tc>
          <w:tcPr>
            <w:tcW w:w="0" w:type="auto"/>
            <w:vMerge w:val="continue"/>
            <w:tcBorders>
              <w:right w:val="single" w:color="auto" w:sz="4" w:space="0"/>
            </w:tcBorders>
            <w:vAlign w:val="center"/>
          </w:tcPr>
          <w:p>
            <w:pPr>
              <w:keepNext w:val="0"/>
              <w:keepLines w:val="0"/>
              <w:widowControl/>
              <w:suppressLineNumbers w:val="0"/>
              <w:spacing w:before="0" w:beforeAutospacing="0" w:after="0" w:afterAutospacing="0" w:line="580" w:lineRule="exact"/>
              <w:ind w:left="0" w:right="0"/>
              <w:jc w:val="both"/>
              <w:rPr>
                <w:rFonts w:hint="default" w:ascii="宋体" w:hAnsi="宋体" w:eastAsia="宋体" w:cs="宋体"/>
                <w:color w:val="auto"/>
                <w:sz w:val="20"/>
                <w:szCs w:val="20"/>
              </w:rPr>
            </w:pPr>
          </w:p>
        </w:tc>
        <w:tc>
          <w:tcPr>
            <w:tcW w:w="0" w:type="auto"/>
            <w:gridSpan w:val="2"/>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0" w:type="auto"/>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0" w:type="auto"/>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c>
          <w:tcPr>
            <w:tcW w:w="0" w:type="auto"/>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387" w:type="dxa"/>
            <w:tcBorders>
              <w:righ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0</w:t>
            </w:r>
          </w:p>
        </w:tc>
        <w:tc>
          <w:tcPr>
            <w:tcW w:w="1333" w:type="dxa"/>
            <w:tcBorders>
              <w:left w:val="single" w:color="auto" w:sz="4" w:space="0"/>
            </w:tcBorders>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0" w:type="auto"/>
            <w:tcBorders>
              <w:right w:val="single" w:color="auto" w:sz="4" w:space="0"/>
            </w:tcBorders>
            <w:vAlign w:val="center"/>
          </w:tcPr>
          <w:p>
            <w:pPr>
              <w:keepNext w:val="0"/>
              <w:keepLines w:val="0"/>
              <w:widowControl/>
              <w:suppressLineNumbers w:val="0"/>
              <w:spacing w:before="0" w:beforeAutospacing="0" w:after="0" w:afterAutospacing="0" w:line="300" w:lineRule="exact"/>
              <w:ind w:left="0" w:leftChars="0" w:right="0" w:rightChars="0"/>
              <w:jc w:val="center"/>
              <w:rPr>
                <w:rFonts w:hint="default" w:ascii="宋体" w:hAnsi="宋体" w:eastAsia="宋体" w:cs="宋体"/>
                <w:color w:val="auto"/>
                <w:sz w:val="20"/>
                <w:szCs w:val="20"/>
              </w:rPr>
            </w:pPr>
            <w:r>
              <w:rPr>
                <w:rFonts w:hint="eastAsia" w:ascii="宋体" w:hAnsi="宋体" w:eastAsia="宋体" w:cs="宋体"/>
                <w:b/>
                <w:bCs/>
                <w:color w:val="auto"/>
                <w:sz w:val="18"/>
                <w:szCs w:val="18"/>
              </w:rPr>
              <w:t>厉行节约保障措施</w:t>
            </w:r>
          </w:p>
        </w:tc>
        <w:tc>
          <w:tcPr>
            <w:tcW w:w="0" w:type="auto"/>
            <w:gridSpan w:val="7"/>
            <w:tcBorders>
              <w:left w:val="single" w:color="auto" w:sz="4" w:space="0"/>
            </w:tcBorders>
            <w:vAlign w:val="center"/>
          </w:tcPr>
          <w:p>
            <w:pPr>
              <w:keepNext w:val="0"/>
              <w:keepLines w:val="0"/>
              <w:widowControl/>
              <w:suppressLineNumbers w:val="0"/>
              <w:spacing w:before="0" w:beforeAutospacing="0" w:after="0" w:afterAutospacing="0" w:line="300" w:lineRule="exact"/>
              <w:ind w:left="0" w:leftChars="0" w:right="0" w:rightChars="0"/>
              <w:jc w:val="left"/>
              <w:rPr>
                <w:rFonts w:hint="default" w:ascii="宋体" w:hAnsi="宋体" w:eastAsia="宋体" w:cs="宋体"/>
                <w:color w:val="auto"/>
                <w:sz w:val="20"/>
                <w:szCs w:val="20"/>
              </w:rPr>
            </w:pPr>
            <w:r>
              <w:rPr>
                <w:rFonts w:hint="eastAsia" w:ascii="宋体" w:hAnsi="宋体" w:cs="宋体"/>
                <w:color w:val="auto"/>
                <w:sz w:val="18"/>
                <w:szCs w:val="18"/>
                <w:lang w:eastAsia="zh-CN"/>
              </w:rPr>
              <w:t>本</w:t>
            </w:r>
            <w:r>
              <w:rPr>
                <w:rFonts w:hint="eastAsia" w:ascii="宋体" w:hAnsi="宋体" w:cs="宋体"/>
                <w:color w:val="auto"/>
                <w:sz w:val="18"/>
                <w:szCs w:val="18"/>
                <w:lang w:val="en-US" w:eastAsia="zh-CN"/>
              </w:rPr>
              <w:t>部门</w:t>
            </w:r>
            <w:r>
              <w:rPr>
                <w:rFonts w:hint="eastAsia" w:ascii="宋体" w:hAnsi="宋体" w:eastAsia="宋体" w:cs="宋体"/>
                <w:color w:val="auto"/>
                <w:sz w:val="18"/>
                <w:szCs w:val="18"/>
              </w:rPr>
              <w:t>在工作开展过程中，厉行节约，严格按照财务管理制度进行开支，严格执行中央“八项规定”。</w:t>
            </w:r>
          </w:p>
        </w:tc>
      </w:tr>
    </w:tbl>
    <w:p>
      <w:pPr>
        <w:spacing w:line="360" w:lineRule="exact"/>
        <w:rPr>
          <w:rFonts w:hint="eastAsia" w:ascii="宋体" w:hAnsi="宋体" w:eastAsia="宋体" w:cs="宋体"/>
          <w:color w:val="auto"/>
          <w:sz w:val="18"/>
          <w:szCs w:val="18"/>
        </w:rPr>
      </w:pPr>
      <w:r>
        <w:rPr>
          <w:rFonts w:hint="eastAsia" w:ascii="宋体" w:hAnsi="宋体" w:eastAsia="宋体" w:cs="宋体"/>
          <w:color w:val="auto"/>
          <w:sz w:val="18"/>
          <w:szCs w:val="18"/>
        </w:rPr>
        <w:t>说明：项目支出需要填报除基本支出以外的所有项目支出情况，公用经费填报基本支出中的一般商品和服务支出。</w:t>
      </w:r>
    </w:p>
    <w:p>
      <w:pPr>
        <w:spacing w:line="360" w:lineRule="exact"/>
        <w:rPr>
          <w:rFonts w:hint="eastAsia" w:ascii="宋体" w:hAnsi="宋体" w:eastAsia="宋体" w:cs="宋体"/>
          <w:color w:val="auto"/>
          <w:sz w:val="18"/>
          <w:szCs w:val="18"/>
        </w:rPr>
      </w:pPr>
      <w:r>
        <w:rPr>
          <w:rFonts w:hint="eastAsia" w:ascii="宋体" w:hAnsi="宋体" w:eastAsia="宋体" w:cs="宋体"/>
          <w:color w:val="auto"/>
          <w:sz w:val="18"/>
          <w:szCs w:val="18"/>
        </w:rPr>
        <w:t xml:space="preserve">单位负责人签字：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 填表人：</w:t>
      </w:r>
      <w:r>
        <w:rPr>
          <w:rFonts w:hint="eastAsia" w:ascii="宋体" w:hAnsi="宋体" w:eastAsia="宋体" w:cs="宋体"/>
          <w:color w:val="auto"/>
          <w:sz w:val="18"/>
          <w:szCs w:val="18"/>
          <w:lang w:val="en-US" w:eastAsia="zh-CN"/>
        </w:rPr>
        <w:t>郭震寰</w:t>
      </w:r>
      <w:r>
        <w:rPr>
          <w:rFonts w:hint="eastAsia" w:ascii="宋体" w:hAnsi="宋体" w:eastAsia="宋体" w:cs="宋体"/>
          <w:color w:val="auto"/>
          <w:sz w:val="18"/>
          <w:szCs w:val="18"/>
        </w:rPr>
        <w:t xml:space="preserve">  联系电话：</w:t>
      </w:r>
      <w:r>
        <w:rPr>
          <w:rFonts w:hint="eastAsia" w:ascii="宋体" w:hAnsi="宋体" w:eastAsia="宋体" w:cs="宋体"/>
          <w:color w:val="auto"/>
          <w:sz w:val="18"/>
          <w:szCs w:val="18"/>
          <w:lang w:val="en-US" w:eastAsia="zh-CN"/>
        </w:rPr>
        <w:t>18974319101</w:t>
      </w:r>
      <w:r>
        <w:rPr>
          <w:rFonts w:hint="eastAsia" w:ascii="宋体" w:hAnsi="宋体" w:eastAsia="宋体" w:cs="宋体"/>
          <w:color w:val="auto"/>
          <w:sz w:val="18"/>
          <w:szCs w:val="18"/>
        </w:rPr>
        <w:t xml:space="preserve"> 填报日期：202</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rPr>
        <w:t>6</w:t>
      </w:r>
      <w:r>
        <w:rPr>
          <w:rFonts w:hint="eastAsia" w:ascii="宋体" w:hAnsi="宋体" w:eastAsia="宋体" w:cs="宋体"/>
          <w:color w:val="auto"/>
          <w:sz w:val="18"/>
          <w:szCs w:val="18"/>
        </w:rPr>
        <w:t>月</w:t>
      </w:r>
      <w:r>
        <w:rPr>
          <w:rFonts w:hint="eastAsia" w:ascii="宋体" w:hAnsi="宋体" w:cs="宋体"/>
          <w:color w:val="auto"/>
          <w:sz w:val="18"/>
          <w:szCs w:val="18"/>
          <w:lang w:val="en-US" w:eastAsia="zh-CN"/>
        </w:rPr>
        <w:t>10</w:t>
      </w:r>
      <w:r>
        <w:rPr>
          <w:rFonts w:hint="eastAsia" w:ascii="宋体" w:hAnsi="宋体" w:eastAsia="宋体" w:cs="宋体"/>
          <w:color w:val="auto"/>
          <w:sz w:val="18"/>
          <w:szCs w:val="18"/>
        </w:rPr>
        <w:t>日</w:t>
      </w:r>
    </w:p>
    <w:p>
      <w:pPr>
        <w:jc w:val="center"/>
        <w:rPr>
          <w:rFonts w:hint="eastAsia" w:ascii="宋体" w:hAnsi="宋体" w:eastAsia="宋体" w:cs="宋体"/>
          <w:b/>
          <w:bCs/>
          <w:color w:val="auto"/>
          <w:kern w:val="2"/>
          <w:sz w:val="28"/>
          <w:szCs w:val="28"/>
        </w:rPr>
      </w:pPr>
      <w:r>
        <w:rPr>
          <w:rFonts w:ascii="黑体" w:hAnsi="黑体" w:eastAsia="黑体"/>
          <w:b/>
          <w:bCs/>
          <w:color w:val="auto"/>
          <w:sz w:val="32"/>
          <w:szCs w:val="32"/>
        </w:rPr>
        <w:t>附件</w:t>
      </w:r>
      <w:r>
        <w:rPr>
          <w:rFonts w:hint="eastAsia" w:ascii="黑体" w:hAnsi="黑体" w:eastAsia="黑体"/>
          <w:b/>
          <w:bCs/>
          <w:color w:val="auto"/>
          <w:sz w:val="32"/>
          <w:szCs w:val="32"/>
          <w:lang w:val="en-US" w:eastAsia="zh-CN"/>
        </w:rPr>
        <w:t>2</w:t>
      </w:r>
      <w:r>
        <w:rPr>
          <w:rFonts w:hint="eastAsia" w:ascii="黑体" w:hAnsi="黑体" w:eastAsia="黑体"/>
          <w:b/>
          <w:bCs/>
          <w:color w:val="auto"/>
          <w:sz w:val="32"/>
          <w:szCs w:val="32"/>
        </w:rPr>
        <w:t>：州级预算部门整体支出绩效自评表</w:t>
      </w:r>
      <w:r>
        <w:rPr>
          <w:rFonts w:hint="eastAsia" w:ascii="宋体" w:hAnsi="宋体" w:eastAsia="宋体" w:cs="宋体"/>
          <w:b/>
          <w:bCs/>
          <w:color w:val="auto"/>
          <w:kern w:val="2"/>
          <w:sz w:val="32"/>
          <w:szCs w:val="32"/>
        </w:rPr>
        <w:t>（202</w:t>
      </w:r>
      <w:r>
        <w:rPr>
          <w:rFonts w:hint="eastAsia" w:ascii="宋体" w:hAnsi="宋体" w:cs="宋体"/>
          <w:b/>
          <w:bCs/>
          <w:color w:val="auto"/>
          <w:kern w:val="2"/>
          <w:sz w:val="32"/>
          <w:szCs w:val="32"/>
          <w:lang w:val="en-US" w:eastAsia="zh-CN"/>
        </w:rPr>
        <w:t>2</w:t>
      </w:r>
      <w:r>
        <w:rPr>
          <w:rFonts w:hint="eastAsia" w:ascii="宋体" w:hAnsi="宋体" w:eastAsia="宋体" w:cs="宋体"/>
          <w:b/>
          <w:bCs/>
          <w:color w:val="auto"/>
          <w:kern w:val="2"/>
          <w:sz w:val="32"/>
          <w:szCs w:val="32"/>
        </w:rPr>
        <w:t>年度）</w:t>
      </w:r>
    </w:p>
    <w:tbl>
      <w:tblPr>
        <w:tblStyle w:val="9"/>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05"/>
        <w:gridCol w:w="776"/>
        <w:gridCol w:w="1750"/>
        <w:gridCol w:w="1102"/>
        <w:gridCol w:w="1159"/>
        <w:gridCol w:w="651"/>
        <w:gridCol w:w="97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1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color w:val="auto"/>
                <w:sz w:val="18"/>
                <w:szCs w:val="18"/>
              </w:rPr>
              <w:t>州级预算部门名称</w:t>
            </w:r>
          </w:p>
        </w:tc>
        <w:tc>
          <w:tcPr>
            <w:tcW w:w="8990" w:type="dxa"/>
            <w:gridSpan w:val="8"/>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b/>
                <w:bCs/>
                <w:color w:val="auto"/>
                <w:kern w:val="2"/>
                <w:sz w:val="18"/>
                <w:szCs w:val="18"/>
              </w:rPr>
              <w:t>政协湘西自治州委员办公室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7"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年度预</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算申请</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sz w:val="18"/>
                <w:szCs w:val="18"/>
              </w:rPr>
              <w:t>（万元）</w:t>
            </w:r>
          </w:p>
        </w:tc>
        <w:tc>
          <w:tcPr>
            <w:tcW w:w="1781" w:type="dxa"/>
            <w:gridSpan w:val="2"/>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175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年初</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预算数</w:t>
            </w:r>
          </w:p>
        </w:tc>
        <w:tc>
          <w:tcPr>
            <w:tcW w:w="110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全年</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预算数</w:t>
            </w:r>
          </w:p>
        </w:tc>
        <w:tc>
          <w:tcPr>
            <w:tcW w:w="115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全年</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执行数</w:t>
            </w:r>
          </w:p>
        </w:tc>
        <w:tc>
          <w:tcPr>
            <w:tcW w:w="6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分值</w:t>
            </w:r>
          </w:p>
        </w:tc>
        <w:tc>
          <w:tcPr>
            <w:tcW w:w="97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执行率</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年度资金总额</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1296.11</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3012.84</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2993.94</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10</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99</w:t>
            </w:r>
            <w:r>
              <w:rPr>
                <w:rFonts w:hint="eastAsia" w:ascii="宋体" w:hAnsi="宋体" w:cs="宋体"/>
                <w:color w:val="auto"/>
                <w:kern w:val="2"/>
                <w:sz w:val="18"/>
                <w:szCs w:val="18"/>
                <w:lang w:val="en-US" w:eastAsia="zh-CN"/>
              </w:rPr>
              <w:t>.37</w:t>
            </w: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9.9</w:t>
            </w:r>
            <w:r>
              <w:rPr>
                <w:rFonts w:hint="eastAsia" w:ascii="宋体" w:hAnsi="宋体" w:cs="宋体"/>
                <w:color w:val="auto"/>
                <w:kern w:val="2"/>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按收入性质分：</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1296.11</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3012.84</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2993.94</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98" w:firstLineChars="11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一般公共预算</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1296.11</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2937.15</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2937.15</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98" w:firstLineChars="11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政府性基金拨款</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98" w:firstLineChars="11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纳入专户管理的非税收入拨款</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80" w:firstLineChars="10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其他</w:t>
            </w:r>
            <w:r>
              <w:rPr>
                <w:rFonts w:hint="eastAsia" w:ascii="宋体" w:hAnsi="宋体" w:cs="宋体"/>
                <w:color w:val="auto"/>
                <w:sz w:val="18"/>
                <w:szCs w:val="18"/>
                <w:lang w:val="en-US" w:eastAsia="zh-CN"/>
              </w:rPr>
              <w:t>收入</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3.20</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3.20</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pStyle w:val="6"/>
              <w:keepNext w:val="0"/>
              <w:keepLines w:val="0"/>
              <w:widowControl/>
              <w:suppressLineNumbers w:val="0"/>
              <w:snapToGrid/>
              <w:spacing w:before="0" w:beforeAutospacing="0" w:after="0" w:afterAutospacing="0" w:line="260" w:lineRule="exact"/>
              <w:ind w:left="0" w:leftChars="0" w:right="0" w:rightChars="0"/>
              <w:rPr>
                <w:rFonts w:hint="eastAsia" w:ascii="宋体" w:hAnsi="宋体" w:eastAsia="宋体" w:cs="宋体"/>
                <w:b/>
                <w:bCs/>
                <w:color w:val="auto"/>
                <w:sz w:val="18"/>
                <w:szCs w:val="18"/>
              </w:rPr>
            </w:pPr>
            <w:r>
              <w:rPr>
                <w:rFonts w:hint="eastAsia" w:ascii="宋体" w:hAnsi="宋体" w:eastAsia="宋体" w:cs="宋体"/>
                <w:color w:val="auto"/>
                <w:kern w:val="2"/>
                <w:sz w:val="18"/>
                <w:szCs w:val="18"/>
              </w:rPr>
              <w:t>按支出性质分：</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1296.11</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3012.84</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2993.94</w:t>
            </w:r>
          </w:p>
        </w:tc>
        <w:tc>
          <w:tcPr>
            <w:tcW w:w="6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80" w:firstLineChars="10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基本支出</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1112.14</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1853.99</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1835.09</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781" w:type="dxa"/>
            <w:gridSpan w:val="2"/>
            <w:noWrap w:val="0"/>
            <w:vAlign w:val="center"/>
          </w:tcPr>
          <w:p>
            <w:pPr>
              <w:keepNext w:val="0"/>
              <w:keepLines w:val="0"/>
              <w:widowControl/>
              <w:suppressLineNumbers w:val="0"/>
              <w:spacing w:before="0" w:beforeAutospacing="0" w:after="0" w:afterAutospacing="0" w:line="260" w:lineRule="exact"/>
              <w:ind w:left="0" w:leftChars="0" w:right="0" w:rightChars="0" w:firstLine="180" w:firstLineChars="100"/>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rPr>
              <w:t>项目支出</w:t>
            </w:r>
          </w:p>
        </w:tc>
        <w:tc>
          <w:tcPr>
            <w:tcW w:w="1750"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183.97</w:t>
            </w:r>
          </w:p>
        </w:tc>
        <w:tc>
          <w:tcPr>
            <w:tcW w:w="1102"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1158.85</w:t>
            </w:r>
          </w:p>
        </w:tc>
        <w:tc>
          <w:tcPr>
            <w:tcW w:w="1159" w:type="dxa"/>
            <w:noWrap w:val="0"/>
            <w:vAlign w:val="center"/>
          </w:tcPr>
          <w:p>
            <w:pPr>
              <w:keepNext w:val="0"/>
              <w:keepLines w:val="0"/>
              <w:widowControl/>
              <w:suppressLineNumbers w:val="0"/>
              <w:spacing w:before="0" w:beforeAutospacing="0" w:after="0" w:afterAutospacing="0" w:line="260" w:lineRule="exact"/>
              <w:ind w:left="0" w:leftChars="0" w:right="0" w:rightChars="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1158.85</w:t>
            </w:r>
          </w:p>
        </w:tc>
        <w:tc>
          <w:tcPr>
            <w:tcW w:w="651"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97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c>
          <w:tcPr>
            <w:tcW w:w="1572"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7"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年度总体目标</w:t>
            </w:r>
          </w:p>
        </w:tc>
        <w:tc>
          <w:tcPr>
            <w:tcW w:w="4633" w:type="dxa"/>
            <w:gridSpan w:val="4"/>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b/>
                <w:bCs/>
                <w:color w:val="auto"/>
                <w:kern w:val="2"/>
                <w:sz w:val="18"/>
                <w:szCs w:val="18"/>
              </w:rPr>
              <w:t>预期目标</w:t>
            </w:r>
          </w:p>
        </w:tc>
        <w:tc>
          <w:tcPr>
            <w:tcW w:w="4357" w:type="dxa"/>
            <w:gridSpan w:val="4"/>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color w:val="auto"/>
                <w:kern w:val="2"/>
                <w:sz w:val="18"/>
                <w:szCs w:val="18"/>
              </w:rPr>
            </w:pPr>
            <w:r>
              <w:rPr>
                <w:rFonts w:hint="eastAsia" w:ascii="宋体" w:hAnsi="宋体" w:eastAsia="宋体" w:cs="宋体"/>
                <w:b/>
                <w:bCs/>
                <w:color w:val="auto"/>
                <w:kern w:val="2"/>
                <w:sz w:val="18"/>
                <w:szCs w:val="18"/>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4633" w:type="dxa"/>
            <w:gridSpan w:val="4"/>
            <w:noWrap w:val="0"/>
            <w:vAlign w:val="center"/>
          </w:tcPr>
          <w:p>
            <w:pPr>
              <w:keepNext w:val="0"/>
              <w:keepLines w:val="0"/>
              <w:widowControl w:val="0"/>
              <w:suppressLineNumbers w:val="0"/>
              <w:spacing w:before="0" w:beforeAutospacing="0" w:after="0" w:afterAutospacing="0" w:line="260" w:lineRule="exact"/>
              <w:ind w:left="0" w:right="5"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深入创建习近平总书记关于加强和改进人民政协工作的重要思想实践季度，切实加强新时代政协党建。认真组织实施年度政治协商和监督计划切实加强新时代政协民主监督，不断加大提案工作力度。围绕中心履行职能，关注群众身边热点难点问题，切实增进民生福祉。积极投身乡村振兴，全力助推脱贫攻坚与乡村振兴的有效衔接。充分发挥民主党派作用，不断画大大湘西建设的同心圆，加强文史宣传工作；抓好委员工作室建设，发挥委员主体作用，加强政协机关建设。</w:t>
            </w:r>
          </w:p>
        </w:tc>
        <w:tc>
          <w:tcPr>
            <w:tcW w:w="4357" w:type="dxa"/>
            <w:gridSpan w:val="4"/>
            <w:noWrap w:val="0"/>
            <w:vAlign w:val="center"/>
          </w:tcPr>
          <w:p>
            <w:pPr>
              <w:keepNext w:val="0"/>
              <w:keepLines w:val="0"/>
              <w:widowControl w:val="0"/>
              <w:suppressLineNumbers w:val="0"/>
              <w:spacing w:before="0" w:beforeAutospacing="0" w:after="0" w:afterAutospacing="0" w:line="260" w:lineRule="exact"/>
              <w:ind w:left="0" w:right="5"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lang w:val="en-US" w:eastAsia="zh-CN"/>
              </w:rPr>
              <w:t>202</w:t>
            </w:r>
            <w:r>
              <w:rPr>
                <w:rFonts w:hint="eastAsia" w:ascii="宋体" w:hAnsi="宋体" w:cs="宋体"/>
                <w:color w:val="auto"/>
                <w:kern w:val="2"/>
                <w:sz w:val="18"/>
                <w:szCs w:val="18"/>
                <w:lang w:val="en-US" w:eastAsia="zh-CN"/>
              </w:rPr>
              <w:t>2</w:t>
            </w:r>
            <w:r>
              <w:rPr>
                <w:rFonts w:hint="eastAsia" w:ascii="宋体" w:hAnsi="宋体" w:eastAsia="宋体" w:cs="宋体"/>
                <w:color w:val="auto"/>
                <w:kern w:val="2"/>
                <w:sz w:val="18"/>
                <w:szCs w:val="18"/>
                <w:lang w:val="en-US" w:eastAsia="zh-CN"/>
              </w:rPr>
              <w:t>年，州政协紧紧围绕州政协十二届六次会议的总体安排和2021年州政协工作要点，积极履行政协职能，聚焦主责主业抓协商议政，强化宗旨意识抓履职为民</w:t>
            </w:r>
            <w:r>
              <w:rPr>
                <w:rFonts w:hint="eastAsia" w:ascii="宋体" w:hAnsi="宋体" w:cs="宋体"/>
                <w:color w:val="auto"/>
                <w:kern w:val="2"/>
                <w:sz w:val="18"/>
                <w:szCs w:val="18"/>
                <w:lang w:val="en-US" w:eastAsia="zh-CN"/>
              </w:rPr>
              <w:t>。坚持党建引领，始终做到政治同向；加强理论学习，始终做到思想同心；提升能力素质，始终做到行动同步；提升能力素质，始终做到行动同步。围绕中心履行职能，关注群众身边热点难点问题，切实增进民生福祉。积极投身乡村振兴，全力助推脱贫攻坚与乡村振兴的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17"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绩</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效</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指</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标</w:t>
            </w:r>
          </w:p>
        </w:tc>
        <w:tc>
          <w:tcPr>
            <w:tcW w:w="100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一级指标</w:t>
            </w:r>
          </w:p>
        </w:tc>
        <w:tc>
          <w:tcPr>
            <w:tcW w:w="776"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二级指标</w:t>
            </w:r>
          </w:p>
        </w:tc>
        <w:tc>
          <w:tcPr>
            <w:tcW w:w="175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三级指标</w:t>
            </w:r>
          </w:p>
        </w:tc>
        <w:tc>
          <w:tcPr>
            <w:tcW w:w="110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年度</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指标值</w:t>
            </w:r>
          </w:p>
        </w:tc>
        <w:tc>
          <w:tcPr>
            <w:tcW w:w="115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实际</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完成值</w:t>
            </w:r>
          </w:p>
        </w:tc>
        <w:tc>
          <w:tcPr>
            <w:tcW w:w="6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分值</w:t>
            </w:r>
          </w:p>
        </w:tc>
        <w:tc>
          <w:tcPr>
            <w:tcW w:w="97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得分</w:t>
            </w:r>
          </w:p>
        </w:tc>
        <w:tc>
          <w:tcPr>
            <w:tcW w:w="1572" w:type="dxa"/>
            <w:noWrap w:val="0"/>
            <w:vAlign w:val="top"/>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偏差原因</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产出指标</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(50分)</w:t>
            </w:r>
          </w:p>
        </w:tc>
        <w:tc>
          <w:tcPr>
            <w:tcW w:w="776" w:type="dxa"/>
            <w:vMerge w:val="restar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数量</w:t>
            </w:r>
          </w:p>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举行政协全会</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1次</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次</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举行常委会</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4次</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4次</w:t>
            </w:r>
          </w:p>
        </w:tc>
        <w:tc>
          <w:tcPr>
            <w:tcW w:w="651"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2</w:t>
            </w:r>
          </w:p>
        </w:tc>
        <w:tc>
          <w:tcPr>
            <w:tcW w:w="975"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2</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提交</w:t>
            </w:r>
            <w:r>
              <w:rPr>
                <w:rFonts w:hint="eastAsia" w:ascii="宋体" w:hAnsi="宋体" w:cs="宋体"/>
                <w:i w:val="0"/>
                <w:iCs w:val="0"/>
                <w:color w:val="auto"/>
                <w:kern w:val="0"/>
                <w:sz w:val="18"/>
                <w:szCs w:val="18"/>
                <w:u w:val="none"/>
                <w:lang w:val="en-US" w:eastAsia="zh-CN" w:bidi="ar"/>
              </w:rPr>
              <w:t>高质量</w:t>
            </w:r>
            <w:r>
              <w:rPr>
                <w:rFonts w:hint="eastAsia" w:ascii="宋体" w:hAnsi="宋体" w:eastAsia="宋体" w:cs="宋体"/>
                <w:i w:val="0"/>
                <w:iCs w:val="0"/>
                <w:color w:val="auto"/>
                <w:kern w:val="0"/>
                <w:sz w:val="18"/>
                <w:szCs w:val="18"/>
                <w:u w:val="none"/>
                <w:lang w:val="en-US" w:eastAsia="zh-CN" w:bidi="ar"/>
              </w:rPr>
              <w:t>调研</w:t>
            </w:r>
            <w:r>
              <w:rPr>
                <w:rFonts w:hint="eastAsia" w:ascii="宋体" w:hAnsi="宋体" w:cs="宋体"/>
                <w:i w:val="0"/>
                <w:iCs w:val="0"/>
                <w:color w:val="auto"/>
                <w:kern w:val="0"/>
                <w:sz w:val="18"/>
                <w:szCs w:val="18"/>
                <w:u w:val="none"/>
                <w:lang w:val="en-US" w:eastAsia="zh-CN" w:bidi="ar"/>
              </w:rPr>
              <w:t>视察</w:t>
            </w:r>
            <w:r>
              <w:rPr>
                <w:rFonts w:hint="eastAsia" w:ascii="宋体" w:hAnsi="宋体" w:eastAsia="宋体" w:cs="宋体"/>
                <w:i w:val="0"/>
                <w:iCs w:val="0"/>
                <w:color w:val="auto"/>
                <w:kern w:val="0"/>
                <w:sz w:val="18"/>
                <w:szCs w:val="18"/>
                <w:u w:val="none"/>
                <w:lang w:val="en-US" w:eastAsia="zh-CN" w:bidi="ar"/>
              </w:rPr>
              <w:t>报告文稿数</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不少于</w:t>
            </w:r>
            <w:r>
              <w:rPr>
                <w:rFonts w:hint="eastAsia" w:ascii="宋体" w:hAnsi="宋体" w:cs="宋体"/>
                <w:i w:val="0"/>
                <w:iCs w:val="0"/>
                <w:color w:val="auto"/>
                <w:kern w:val="0"/>
                <w:sz w:val="18"/>
                <w:szCs w:val="18"/>
                <w:u w:val="none"/>
                <w:lang w:val="en-US" w:eastAsia="zh-CN" w:bidi="ar"/>
              </w:rPr>
              <w:t>15</w:t>
            </w:r>
            <w:r>
              <w:rPr>
                <w:rFonts w:hint="eastAsia" w:ascii="宋体" w:hAnsi="宋体" w:eastAsia="宋体" w:cs="宋体"/>
                <w:i w:val="0"/>
                <w:iCs w:val="0"/>
                <w:color w:val="auto"/>
                <w:kern w:val="0"/>
                <w:sz w:val="18"/>
                <w:szCs w:val="18"/>
                <w:u w:val="none"/>
                <w:lang w:val="en-US" w:eastAsia="zh-CN" w:bidi="ar"/>
              </w:rPr>
              <w:t>篇</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达31</w:t>
            </w:r>
            <w:r>
              <w:rPr>
                <w:rFonts w:hint="eastAsia" w:ascii="宋体" w:hAnsi="宋体" w:eastAsia="宋体" w:cs="宋体"/>
                <w:i w:val="0"/>
                <w:iCs w:val="0"/>
                <w:color w:val="auto"/>
                <w:kern w:val="0"/>
                <w:sz w:val="18"/>
                <w:szCs w:val="18"/>
                <w:u w:val="none"/>
                <w:lang w:val="en-US" w:eastAsia="zh-CN" w:bidi="ar"/>
              </w:rPr>
              <w:t>篇</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政协提案</w:t>
            </w:r>
            <w:r>
              <w:rPr>
                <w:rFonts w:hint="eastAsia" w:ascii="宋体" w:hAnsi="宋体" w:cs="宋体"/>
                <w:i w:val="0"/>
                <w:iCs w:val="0"/>
                <w:color w:val="auto"/>
                <w:kern w:val="0"/>
                <w:sz w:val="18"/>
                <w:szCs w:val="18"/>
                <w:u w:val="none"/>
                <w:lang w:val="en-US" w:eastAsia="zh-CN" w:bidi="ar"/>
              </w:rPr>
              <w:t>督办</w:t>
            </w:r>
            <w:r>
              <w:rPr>
                <w:rFonts w:hint="eastAsia" w:ascii="宋体" w:hAnsi="宋体" w:eastAsia="宋体" w:cs="宋体"/>
                <w:i w:val="0"/>
                <w:iCs w:val="0"/>
                <w:color w:val="auto"/>
                <w:kern w:val="0"/>
                <w:sz w:val="18"/>
                <w:szCs w:val="18"/>
                <w:u w:val="none"/>
                <w:lang w:val="en-US" w:eastAsia="zh-CN" w:bidi="ar"/>
              </w:rPr>
              <w:t>数</w:t>
            </w:r>
          </w:p>
        </w:tc>
        <w:tc>
          <w:tcPr>
            <w:tcW w:w="1102"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00件</w:t>
            </w:r>
          </w:p>
        </w:tc>
        <w:tc>
          <w:tcPr>
            <w:tcW w:w="1159"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296</w:t>
            </w:r>
            <w:r>
              <w:rPr>
                <w:rFonts w:hint="eastAsia" w:ascii="宋体" w:hAnsi="宋体" w:eastAsia="宋体" w:cs="宋体"/>
                <w:i w:val="0"/>
                <w:iCs w:val="0"/>
                <w:color w:val="FF0000"/>
                <w:kern w:val="0"/>
                <w:sz w:val="18"/>
                <w:szCs w:val="18"/>
                <w:u w:val="none"/>
                <w:lang w:val="en-US" w:eastAsia="zh-CN" w:bidi="ar"/>
              </w:rPr>
              <w:t>件</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c>
          <w:tcPr>
            <w:tcW w:w="776"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重点提案</w:t>
            </w:r>
            <w:r>
              <w:rPr>
                <w:rFonts w:hint="eastAsia" w:ascii="宋体" w:hAnsi="宋体" w:cs="宋体"/>
                <w:i w:val="0"/>
                <w:iCs w:val="0"/>
                <w:color w:val="auto"/>
                <w:kern w:val="0"/>
                <w:sz w:val="18"/>
                <w:szCs w:val="18"/>
                <w:u w:val="none"/>
                <w:lang w:val="en-US" w:eastAsia="zh-CN" w:bidi="ar"/>
              </w:rPr>
              <w:t>督办</w:t>
            </w:r>
            <w:r>
              <w:rPr>
                <w:rFonts w:hint="eastAsia" w:ascii="宋体" w:hAnsi="宋体" w:eastAsia="宋体" w:cs="宋体"/>
                <w:i w:val="0"/>
                <w:iCs w:val="0"/>
                <w:color w:val="auto"/>
                <w:kern w:val="0"/>
                <w:sz w:val="18"/>
                <w:szCs w:val="18"/>
                <w:u w:val="none"/>
                <w:lang w:val="en-US" w:eastAsia="zh-CN" w:bidi="ar"/>
              </w:rPr>
              <w:t>率</w:t>
            </w:r>
          </w:p>
        </w:tc>
        <w:tc>
          <w:tcPr>
            <w:tcW w:w="1102"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651"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重点课题调研报告完成质量</w:t>
            </w:r>
          </w:p>
        </w:tc>
        <w:tc>
          <w:tcPr>
            <w:tcW w:w="1102"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default"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高质量</w:t>
            </w:r>
          </w:p>
        </w:tc>
        <w:tc>
          <w:tcPr>
            <w:tcW w:w="1159"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高质量</w:t>
            </w:r>
          </w:p>
        </w:tc>
        <w:tc>
          <w:tcPr>
            <w:tcW w:w="651"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政协云管理到位率</w:t>
            </w:r>
          </w:p>
        </w:tc>
        <w:tc>
          <w:tcPr>
            <w:tcW w:w="1102"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651"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时效</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重点工作完成及时率</w:t>
            </w:r>
          </w:p>
        </w:tc>
        <w:tc>
          <w:tcPr>
            <w:tcW w:w="1102"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651"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975"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3</w:t>
            </w:r>
          </w:p>
        </w:tc>
        <w:tc>
          <w:tcPr>
            <w:tcW w:w="1572" w:type="dxa"/>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民主监督意见完成率</w:t>
            </w:r>
          </w:p>
        </w:tc>
        <w:tc>
          <w:tcPr>
            <w:tcW w:w="1102"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651"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2</w:t>
            </w:r>
          </w:p>
        </w:tc>
        <w:tc>
          <w:tcPr>
            <w:tcW w:w="975" w:type="dxa"/>
            <w:noWrap w:val="0"/>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2</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restart"/>
            <w:noWrap w:val="0"/>
            <w:vAlign w:val="center"/>
          </w:tcPr>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成本</w:t>
            </w:r>
          </w:p>
          <w:p>
            <w:pPr>
              <w:keepNext w:val="0"/>
              <w:keepLines w:val="0"/>
              <w:widowControl/>
              <w:suppressLineNumbers w:val="0"/>
              <w:spacing w:before="0" w:beforeAutospacing="0" w:afterAutospacing="0" w:line="260" w:lineRule="exact"/>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rPr>
              <w:t>指标</w:t>
            </w:r>
          </w:p>
        </w:tc>
        <w:tc>
          <w:tcPr>
            <w:tcW w:w="17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在职人员控制率</w:t>
            </w:r>
          </w:p>
        </w:tc>
        <w:tc>
          <w:tcPr>
            <w:tcW w:w="110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99</w:t>
            </w:r>
            <w:r>
              <w:rPr>
                <w:rFonts w:hint="eastAsia" w:ascii="宋体" w:hAnsi="宋体" w:eastAsia="宋体" w:cs="宋体"/>
                <w:i w:val="0"/>
                <w:iCs w:val="0"/>
                <w:color w:val="auto"/>
                <w:kern w:val="0"/>
                <w:sz w:val="18"/>
                <w:szCs w:val="18"/>
                <w:u w:val="none"/>
                <w:lang w:val="en-US" w:eastAsia="zh-CN" w:bidi="ar"/>
              </w:rPr>
              <w:t>%</w:t>
            </w:r>
          </w:p>
        </w:tc>
        <w:tc>
          <w:tcPr>
            <w:tcW w:w="65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3</w:t>
            </w:r>
          </w:p>
        </w:tc>
        <w:tc>
          <w:tcPr>
            <w:tcW w:w="9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3</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公用经费控制率</w:t>
            </w:r>
          </w:p>
        </w:tc>
        <w:tc>
          <w:tcPr>
            <w:tcW w:w="110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FF0000"/>
                <w:kern w:val="0"/>
                <w:sz w:val="18"/>
                <w:szCs w:val="18"/>
                <w:u w:val="none"/>
                <w:lang w:val="en-US" w:eastAsia="zh-CN" w:bidi="ar"/>
              </w:rPr>
              <w:t>78</w:t>
            </w:r>
            <w:r>
              <w:rPr>
                <w:rFonts w:hint="eastAsia" w:ascii="宋体" w:hAnsi="宋体" w:eastAsia="宋体" w:cs="宋体"/>
                <w:i w:val="0"/>
                <w:iCs w:val="0"/>
                <w:color w:val="FF0000"/>
                <w:kern w:val="0"/>
                <w:sz w:val="18"/>
                <w:szCs w:val="18"/>
                <w:u w:val="none"/>
                <w:lang w:val="en-US" w:eastAsia="zh-CN" w:bidi="ar"/>
              </w:rPr>
              <w:t>%</w:t>
            </w:r>
          </w:p>
        </w:tc>
        <w:tc>
          <w:tcPr>
            <w:tcW w:w="65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3</w:t>
            </w:r>
          </w:p>
        </w:tc>
        <w:tc>
          <w:tcPr>
            <w:tcW w:w="9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FF0000"/>
                <w:kern w:val="0"/>
                <w:sz w:val="18"/>
                <w:szCs w:val="18"/>
                <w:u w:val="none"/>
                <w:lang w:val="en-US" w:eastAsia="zh-CN" w:bidi="ar"/>
              </w:rPr>
              <w:t>2</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“三公经费”控制率</w:t>
            </w:r>
          </w:p>
        </w:tc>
        <w:tc>
          <w:tcPr>
            <w:tcW w:w="110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FF0000"/>
                <w:kern w:val="0"/>
                <w:sz w:val="18"/>
                <w:szCs w:val="18"/>
                <w:u w:val="none"/>
                <w:lang w:val="en-US" w:eastAsia="zh-CN" w:bidi="ar"/>
              </w:rPr>
              <w:t>110</w:t>
            </w:r>
            <w:r>
              <w:rPr>
                <w:rFonts w:hint="eastAsia" w:ascii="宋体" w:hAnsi="宋体" w:eastAsia="宋体" w:cs="宋体"/>
                <w:i w:val="0"/>
                <w:iCs w:val="0"/>
                <w:color w:val="FF0000"/>
                <w:kern w:val="0"/>
                <w:sz w:val="18"/>
                <w:szCs w:val="18"/>
                <w:u w:val="none"/>
                <w:lang w:val="en-US" w:eastAsia="zh-CN" w:bidi="ar"/>
              </w:rPr>
              <w:t>%</w:t>
            </w:r>
          </w:p>
        </w:tc>
        <w:tc>
          <w:tcPr>
            <w:tcW w:w="65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2</w:t>
            </w:r>
          </w:p>
        </w:tc>
        <w:tc>
          <w:tcPr>
            <w:tcW w:w="9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1</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政府采购执行率</w:t>
            </w:r>
          </w:p>
        </w:tc>
        <w:tc>
          <w:tcPr>
            <w:tcW w:w="110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FF0000"/>
                <w:kern w:val="0"/>
                <w:sz w:val="18"/>
                <w:szCs w:val="18"/>
                <w:u w:val="none"/>
                <w:lang w:val="en-US" w:eastAsia="zh-CN" w:bidi="ar"/>
              </w:rPr>
              <w:t>486</w:t>
            </w:r>
            <w:r>
              <w:rPr>
                <w:rFonts w:hint="eastAsia" w:ascii="宋体" w:hAnsi="宋体" w:eastAsia="宋体" w:cs="宋体"/>
                <w:i w:val="0"/>
                <w:iCs w:val="0"/>
                <w:color w:val="FF0000"/>
                <w:kern w:val="0"/>
                <w:sz w:val="18"/>
                <w:szCs w:val="18"/>
                <w:u w:val="none"/>
                <w:lang w:val="en-US" w:eastAsia="zh-CN" w:bidi="ar"/>
              </w:rPr>
              <w:t>%</w:t>
            </w:r>
          </w:p>
        </w:tc>
        <w:tc>
          <w:tcPr>
            <w:tcW w:w="65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auto"/>
                <w:kern w:val="0"/>
                <w:sz w:val="18"/>
                <w:szCs w:val="18"/>
                <w:u w:val="none"/>
                <w:lang w:val="en-US" w:eastAsia="zh-CN" w:bidi="ar"/>
              </w:rPr>
              <w:t>2</w:t>
            </w:r>
          </w:p>
        </w:tc>
        <w:tc>
          <w:tcPr>
            <w:tcW w:w="9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cs="宋体"/>
                <w:i w:val="0"/>
                <w:iCs w:val="0"/>
                <w:color w:val="FF0000"/>
                <w:kern w:val="0"/>
                <w:sz w:val="18"/>
                <w:szCs w:val="18"/>
                <w:u w:val="none"/>
                <w:lang w:val="en-US" w:eastAsia="zh-CN" w:bidi="ar"/>
              </w:rPr>
              <w:t>0</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776"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75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固定资产利用率</w:t>
            </w:r>
          </w:p>
        </w:tc>
        <w:tc>
          <w:tcPr>
            <w:tcW w:w="110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115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100%</w:t>
            </w:r>
          </w:p>
        </w:tc>
        <w:tc>
          <w:tcPr>
            <w:tcW w:w="65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lang w:val="en-US" w:eastAsia="zh-CN"/>
              </w:rPr>
            </w:pPr>
            <w:r>
              <w:rPr>
                <w:rFonts w:hint="eastAsia" w:ascii="宋体" w:hAnsi="宋体" w:eastAsia="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效益指标</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 xml:space="preserve">（30分） </w:t>
            </w:r>
          </w:p>
        </w:tc>
        <w:tc>
          <w:tcPr>
            <w:tcW w:w="776"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经济效</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益指标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发挥政协联系面广、委员界别多的自身优势，为我州经济建设提供及时、有效信息，为我州经济腾飞注入活力</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助力地区经济发展</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助力地区经济发展取得实效</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776"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助力乡村振兴</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“湘西州红军村红色贷，助力乡村振兴”启动</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全面启动，助力乡村振兴</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776"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社会效益指标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发挥政协智囊团的作用，向州委、州政府建言献策，为领导决策提供可靠、及时、有效的依据。切实解决我州各项建设和群众日常生活中存在的困难。</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进一步巩固拓展了脱贫攻坚成果</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助力各项惠民政策落地落实</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776"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可持续影响指标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开展我州林业科持续发展专题调研和矿区矿区环境治理专项视察活动，为建设绿色湘西提供发展思路</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服务格局提升</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不断巩固省级文明单位创建成果，</w:t>
            </w:r>
            <w:r>
              <w:rPr>
                <w:rFonts w:hint="eastAsia" w:ascii="宋体" w:hAnsi="宋体" w:cs="宋体"/>
                <w:i w:val="0"/>
                <w:iCs w:val="0"/>
                <w:color w:val="auto"/>
                <w:kern w:val="0"/>
                <w:sz w:val="18"/>
                <w:szCs w:val="18"/>
                <w:u w:val="none"/>
                <w:lang w:val="en-US" w:eastAsia="zh-CN" w:bidi="ar"/>
              </w:rPr>
              <w:t>文明、绿色城市</w:t>
            </w:r>
            <w:r>
              <w:rPr>
                <w:rFonts w:hint="eastAsia" w:ascii="宋体" w:hAnsi="宋体" w:eastAsia="宋体" w:cs="宋体"/>
                <w:i w:val="0"/>
                <w:iCs w:val="0"/>
                <w:color w:val="auto"/>
                <w:kern w:val="0"/>
                <w:sz w:val="18"/>
                <w:szCs w:val="18"/>
                <w:u w:val="none"/>
                <w:lang w:val="en-US" w:eastAsia="zh-CN" w:bidi="ar"/>
              </w:rPr>
              <w:t>环境</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满意度</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指标</w:t>
            </w:r>
          </w:p>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（10分）</w:t>
            </w:r>
          </w:p>
        </w:tc>
        <w:tc>
          <w:tcPr>
            <w:tcW w:w="776" w:type="dxa"/>
            <w:vMerge w:val="restart"/>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服务对象满意度指标</w:t>
            </w: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部门满意度</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97%</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776"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服务对象满意度</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17" w:type="dxa"/>
            <w:vMerge w:val="continue"/>
            <w:noWrap w:val="0"/>
            <w:vAlign w:val="center"/>
          </w:tcPr>
          <w:p>
            <w:pPr>
              <w:keepNext w:val="0"/>
              <w:keepLines w:val="0"/>
              <w:widowControl/>
              <w:suppressLineNumbers w:val="0"/>
              <w:spacing w:before="0" w:beforeAutospacing="0" w:afterAutospacing="0" w:line="260" w:lineRule="exact"/>
              <w:ind w:left="0" w:right="0"/>
              <w:jc w:val="left"/>
              <w:rPr>
                <w:rFonts w:hint="eastAsia" w:ascii="宋体" w:hAnsi="宋体"/>
                <w:color w:val="auto"/>
                <w:sz w:val="18"/>
                <w:szCs w:val="18"/>
              </w:rPr>
            </w:pPr>
          </w:p>
        </w:tc>
        <w:tc>
          <w:tcPr>
            <w:tcW w:w="1005"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c>
          <w:tcPr>
            <w:tcW w:w="776" w:type="dxa"/>
            <w:vMerge w:val="continue"/>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lang w:val="en-US" w:eastAsia="zh-CN"/>
              </w:rPr>
            </w:pPr>
          </w:p>
        </w:tc>
        <w:tc>
          <w:tcPr>
            <w:tcW w:w="1750"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社会公众满意度</w:t>
            </w:r>
          </w:p>
        </w:tc>
        <w:tc>
          <w:tcPr>
            <w:tcW w:w="1102"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115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w:t>
            </w:r>
          </w:p>
        </w:tc>
        <w:tc>
          <w:tcPr>
            <w:tcW w:w="651"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975"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09" w:type="dxa"/>
            <w:gridSpan w:val="6"/>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总 分</w:t>
            </w:r>
          </w:p>
        </w:tc>
        <w:tc>
          <w:tcPr>
            <w:tcW w:w="651"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100</w:t>
            </w:r>
          </w:p>
        </w:tc>
        <w:tc>
          <w:tcPr>
            <w:tcW w:w="97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宋体" w:hAnsi="宋体" w:eastAsia="宋体" w:cs="宋体"/>
                <w:color w:val="auto"/>
                <w:kern w:val="2"/>
                <w:sz w:val="18"/>
                <w:szCs w:val="18"/>
                <w:lang w:val="en-US" w:eastAsia="zh-CN"/>
              </w:rPr>
            </w:pPr>
            <w:r>
              <w:rPr>
                <w:rFonts w:hint="eastAsia" w:ascii="宋体" w:hAnsi="宋体" w:cs="宋体"/>
                <w:color w:val="auto"/>
                <w:kern w:val="2"/>
                <w:sz w:val="18"/>
                <w:szCs w:val="18"/>
                <w:lang w:val="en-US" w:eastAsia="zh-CN"/>
              </w:rPr>
              <w:t>94.93</w:t>
            </w:r>
          </w:p>
        </w:tc>
        <w:tc>
          <w:tcPr>
            <w:tcW w:w="1572" w:type="dxa"/>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auto"/>
                <w:kern w:val="2"/>
                <w:sz w:val="18"/>
                <w:szCs w:val="18"/>
              </w:rPr>
            </w:pPr>
          </w:p>
        </w:tc>
      </w:tr>
    </w:tbl>
    <w:p>
      <w:pPr>
        <w:widowControl w:val="0"/>
        <w:spacing w:after="0" w:line="300" w:lineRule="exact"/>
        <w:jc w:val="left"/>
        <w:rPr>
          <w:rFonts w:hint="eastAsia" w:ascii="宋体" w:hAnsi="宋体" w:eastAsia="宋体" w:cs="宋体"/>
          <w:color w:val="auto"/>
          <w:kern w:val="2"/>
          <w:sz w:val="18"/>
          <w:szCs w:val="18"/>
          <w:lang w:val="en-US" w:eastAsia="zh-CN"/>
        </w:rPr>
      </w:pPr>
    </w:p>
    <w:p>
      <w:pPr>
        <w:widowControl w:val="0"/>
        <w:spacing w:after="0" w:line="30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kern w:val="2"/>
          <w:sz w:val="18"/>
          <w:szCs w:val="18"/>
          <w:lang w:val="en-US" w:eastAsia="zh-CN"/>
        </w:rPr>
        <w:t xml:space="preserve">单位负责人签字：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 xml:space="preserve"> 填表人： 郭震寰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 xml:space="preserve">联系电话： 18974319101  </w:t>
      </w:r>
      <w:r>
        <w:rPr>
          <w:rFonts w:hint="default" w:ascii="宋体" w:hAnsi="宋体" w:eastAsia="宋体" w:cs="宋体"/>
          <w:color w:val="auto"/>
          <w:kern w:val="2"/>
          <w:sz w:val="18"/>
          <w:szCs w:val="18"/>
          <w:lang w:val="en-US" w:eastAsia="zh-CN"/>
        </w:rPr>
        <w:t xml:space="preserve"> </w:t>
      </w:r>
      <w:r>
        <w:rPr>
          <w:rFonts w:hint="eastAsia" w:ascii="宋体" w:hAnsi="宋体" w:eastAsia="宋体" w:cs="宋体"/>
          <w:color w:val="auto"/>
          <w:kern w:val="2"/>
          <w:sz w:val="18"/>
          <w:szCs w:val="18"/>
          <w:lang w:val="en-US" w:eastAsia="zh-CN"/>
        </w:rPr>
        <w:t>填报日期：202</w:t>
      </w:r>
      <w:r>
        <w:rPr>
          <w:rFonts w:hint="eastAsia" w:ascii="宋体" w:hAnsi="宋体" w:cs="宋体"/>
          <w:color w:val="auto"/>
          <w:kern w:val="2"/>
          <w:sz w:val="18"/>
          <w:szCs w:val="18"/>
          <w:lang w:val="en-US" w:eastAsia="zh-CN"/>
        </w:rPr>
        <w:t>3</w:t>
      </w:r>
      <w:r>
        <w:rPr>
          <w:rFonts w:hint="eastAsia" w:ascii="宋体" w:hAnsi="宋体" w:eastAsia="宋体" w:cs="宋体"/>
          <w:color w:val="auto"/>
          <w:kern w:val="2"/>
          <w:sz w:val="18"/>
          <w:szCs w:val="18"/>
          <w:lang w:val="en-US" w:eastAsia="zh-CN"/>
        </w:rPr>
        <w:t xml:space="preserve"> 年6 月1</w:t>
      </w:r>
      <w:r>
        <w:rPr>
          <w:rFonts w:hint="eastAsia" w:ascii="宋体" w:hAnsi="宋体" w:cs="宋体"/>
          <w:color w:val="auto"/>
          <w:kern w:val="2"/>
          <w:sz w:val="18"/>
          <w:szCs w:val="18"/>
          <w:lang w:val="en-US" w:eastAsia="zh-CN"/>
        </w:rPr>
        <w:t>0</w:t>
      </w:r>
      <w:r>
        <w:rPr>
          <w:rFonts w:hint="eastAsia" w:ascii="宋体" w:hAnsi="宋体" w:eastAsia="宋体" w:cs="宋体"/>
          <w:color w:val="auto"/>
          <w:kern w:val="2"/>
          <w:sz w:val="18"/>
          <w:szCs w:val="18"/>
          <w:lang w:val="en-US" w:eastAsia="zh-CN"/>
        </w:rPr>
        <w:t xml:space="preserve">日 </w:t>
      </w: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p>
    <w:p>
      <w:pPr>
        <w:spacing w:after="0" w:line="580" w:lineRule="exact"/>
        <w:jc w:val="both"/>
        <w:rPr>
          <w:rFonts w:ascii="宋体" w:hAnsi="宋体" w:eastAsia="宋体" w:cs="宋体"/>
          <w:color w:val="auto"/>
          <w:sz w:val="20"/>
          <w:szCs w:val="20"/>
        </w:rPr>
      </w:pPr>
    </w:p>
    <w:p>
      <w:pPr>
        <w:jc w:val="both"/>
        <w:rPr>
          <w:rFonts w:hint="eastAsia" w:ascii="黑体" w:hAnsi="黑体" w:eastAsia="黑体"/>
          <w:b/>
          <w:bCs/>
          <w:color w:val="auto"/>
          <w:sz w:val="30"/>
          <w:szCs w:val="30"/>
        </w:rPr>
      </w:pPr>
    </w:p>
    <w:p>
      <w:pPr>
        <w:jc w:val="both"/>
        <w:rPr>
          <w:rFonts w:hint="eastAsia" w:ascii="黑体" w:hAnsi="黑体" w:eastAsia="黑体"/>
          <w:b/>
          <w:bCs/>
          <w:color w:val="auto"/>
          <w:sz w:val="30"/>
          <w:szCs w:val="30"/>
        </w:rPr>
      </w:pPr>
    </w:p>
    <w:p>
      <w:pPr>
        <w:jc w:val="both"/>
        <w:rPr>
          <w:rFonts w:hint="eastAsia" w:ascii="黑体" w:hAnsi="黑体" w:eastAsia="黑体"/>
          <w:b/>
          <w:bCs/>
          <w:color w:val="auto"/>
          <w:sz w:val="30"/>
          <w:szCs w:val="30"/>
        </w:rPr>
      </w:pPr>
    </w:p>
    <w:p>
      <w:pPr>
        <w:jc w:val="both"/>
        <w:rPr>
          <w:rFonts w:hint="eastAsia" w:ascii="黑体" w:hAnsi="黑体" w:eastAsia="黑体"/>
          <w:b/>
          <w:bCs/>
          <w:color w:val="auto"/>
          <w:sz w:val="30"/>
          <w:szCs w:val="30"/>
          <w:lang w:val="en-US" w:eastAsia="zh-CN"/>
        </w:rPr>
      </w:pPr>
      <w:r>
        <w:rPr>
          <w:rFonts w:hint="eastAsia" w:ascii="黑体" w:hAnsi="黑体" w:eastAsia="黑体"/>
          <w:b/>
          <w:bCs/>
          <w:color w:val="auto"/>
          <w:sz w:val="30"/>
          <w:szCs w:val="30"/>
        </w:rPr>
        <w:t>附件</w:t>
      </w:r>
      <w:r>
        <w:rPr>
          <w:rFonts w:hint="eastAsia" w:ascii="黑体" w:hAnsi="黑体" w:eastAsia="黑体"/>
          <w:b/>
          <w:bCs/>
          <w:color w:val="auto"/>
          <w:sz w:val="30"/>
          <w:szCs w:val="30"/>
          <w:lang w:val="en-US" w:eastAsia="zh-CN"/>
        </w:rPr>
        <w:t>3：湘西州政协办公室关于2021年度整体支出绩效评价的通知</w:t>
      </w:r>
    </w:p>
    <w:p>
      <w:pPr>
        <w:spacing w:after="0" w:line="580" w:lineRule="exact"/>
        <w:jc w:val="both"/>
        <w:rPr>
          <w:rFonts w:hint="eastAsia" w:ascii="仿宋" w:hAnsi="仿宋" w:eastAsia="仿宋" w:cs="仿宋"/>
          <w:color w:val="auto"/>
          <w:sz w:val="30"/>
          <w:szCs w:val="30"/>
          <w:lang w:val="en-US" w:eastAsia="zh-CN"/>
        </w:rPr>
      </w:pPr>
    </w:p>
    <w:p>
      <w:pPr>
        <w:spacing w:after="0" w:line="580" w:lineRule="exact"/>
        <w:jc w:val="both"/>
        <w:rPr>
          <w:rFonts w:ascii="宋体" w:hAnsi="宋体" w:eastAsia="宋体" w:cs="宋体"/>
          <w:color w:val="auto"/>
          <w:sz w:val="20"/>
          <w:szCs w:val="20"/>
        </w:rPr>
      </w:pPr>
      <w:r>
        <w:rPr>
          <w:rFonts w:hint="eastAsia" w:ascii="仿宋" w:hAnsi="仿宋" w:eastAsia="仿宋" w:cs="仿宋"/>
          <w:color w:val="auto"/>
          <w:sz w:val="30"/>
          <w:szCs w:val="30"/>
        </w:rPr>
        <w:t>　　　</w:t>
      </w:r>
    </w:p>
    <w:p>
      <w:pPr>
        <w:spacing w:after="0" w:line="580" w:lineRule="exact"/>
        <w:jc w:val="both"/>
        <w:rPr>
          <w:rFonts w:hint="eastAsia" w:ascii="宋体" w:hAnsi="宋体" w:eastAsia="宋体" w:cs="宋体"/>
          <w:color w:val="auto"/>
          <w:sz w:val="20"/>
          <w:szCs w:val="20"/>
          <w:lang w:val="en-US" w:eastAsia="zh-CN"/>
        </w:rPr>
      </w:pPr>
    </w:p>
    <w:p>
      <w:pPr>
        <w:spacing w:after="0" w:line="580" w:lineRule="exact"/>
        <w:jc w:val="both"/>
        <w:rPr>
          <w:rFonts w:hint="default" w:ascii="宋体" w:hAnsi="宋体" w:eastAsia="宋体" w:cs="宋体"/>
          <w:color w:val="auto"/>
          <w:sz w:val="20"/>
          <w:szCs w:val="20"/>
          <w:lang w:val="en-US"/>
        </w:rPr>
      </w:pPr>
    </w:p>
    <w:p>
      <w:pPr>
        <w:spacing w:after="0" w:line="580" w:lineRule="exact"/>
        <w:jc w:val="both"/>
        <w:rPr>
          <w:rFonts w:hint="default" w:ascii="宋体" w:hAnsi="宋体" w:eastAsia="宋体" w:cs="宋体"/>
          <w:color w:val="auto"/>
          <w:sz w:val="20"/>
          <w:szCs w:val="20"/>
          <w:lang w:val="en-US"/>
        </w:rPr>
      </w:pPr>
    </w:p>
    <w:p>
      <w:pPr>
        <w:bidi w:val="0"/>
        <w:rPr>
          <w:rFonts w:hint="default" w:asciiTheme="minorHAnsi" w:hAnsiTheme="minorHAnsi" w:eastAsiaTheme="minorEastAsia" w:cstheme="minorBidi"/>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bidi w:val="0"/>
        <w:jc w:val="center"/>
        <w:rPr>
          <w:rFonts w:hint="default"/>
          <w:lang w:val="en-US" w:eastAsia="zh-CN"/>
        </w:rPr>
      </w:pPr>
    </w:p>
    <w:p>
      <w:pPr>
        <w:spacing w:line="360" w:lineRule="exact"/>
        <w:rPr>
          <w:rFonts w:hint="eastAsia" w:asciiTheme="minorEastAsia" w:hAnsiTheme="minorEastAsia" w:eastAsiaTheme="minorEastAsia" w:cstheme="minorEastAsia"/>
          <w:color w:val="auto"/>
          <w:sz w:val="18"/>
          <w:szCs w:val="18"/>
        </w:rPr>
      </w:pPr>
    </w:p>
    <w:sectPr>
      <w:headerReference r:id="rId5" w:type="first"/>
      <w:headerReference r:id="rId4" w:type="default"/>
      <w:footerReference r:id="rId6" w:type="default"/>
      <w:footerReference r:id="rId7" w:type="even"/>
      <w:pgSz w:w="11905" w:h="16837"/>
      <w:pgMar w:top="1417" w:right="1334" w:bottom="1304" w:left="1531" w:header="851" w:footer="1701" w:gutter="0"/>
      <w:pgNumType w:fmt="numberInDash"/>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1B84D9-6C07-49AF-9741-9A2CBD8B4CA9}"/>
  </w:font>
  <w:font w:name="黑体">
    <w:panose1 w:val="02010609060101010101"/>
    <w:charset w:val="86"/>
    <w:family w:val="auto"/>
    <w:pitch w:val="default"/>
    <w:sig w:usb0="800002BF" w:usb1="38CF7CFA" w:usb2="00000016" w:usb3="00000000" w:csb0="00040001" w:csb1="00000000"/>
    <w:embedRegular r:id="rId2" w:fontKey="{A38BA0DC-F2F8-4AFD-91FC-F9B7A73F1D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EB9F37C-977A-44A4-BA39-23E158B5402E}"/>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D0988D47-6CDA-409B-8F27-766B519EF328}"/>
  </w:font>
  <w:font w:name="仿宋_GB2312">
    <w:altName w:val="仿宋"/>
    <w:panose1 w:val="02010609030101010101"/>
    <w:charset w:val="86"/>
    <w:family w:val="modern"/>
    <w:pitch w:val="default"/>
    <w:sig w:usb0="00000000" w:usb1="00000000" w:usb2="00000000" w:usb3="00000000" w:csb0="00040000" w:csb1="00000000"/>
    <w:embedRegular r:id="rId5" w:fontKey="{11C78262-DC52-436E-ABBE-1D4F3CBD45C5}"/>
  </w:font>
  <w:font w:name="方正小标宋简体">
    <w:panose1 w:val="02000000000000000000"/>
    <w:charset w:val="86"/>
    <w:family w:val="auto"/>
    <w:pitch w:val="default"/>
    <w:sig w:usb0="00000001" w:usb1="08000000" w:usb2="00000000" w:usb3="00000000" w:csb0="00040000" w:csb1="00000000"/>
    <w:embedRegular r:id="rId6" w:fontKey="{DDADDA74-8C2D-48AC-BBA7-4F1C369CFF38}"/>
  </w:font>
  <w:font w:name="仿宋">
    <w:panose1 w:val="02010609060101010101"/>
    <w:charset w:val="86"/>
    <w:family w:val="auto"/>
    <w:pitch w:val="default"/>
    <w:sig w:usb0="800002BF" w:usb1="38CF7CFA" w:usb2="00000016" w:usb3="00000000" w:csb0="00040001" w:csb1="00000000"/>
    <w:embedRegular r:id="rId7" w:fontKey="{D4F766A7-E386-41A5-92B8-233818631A5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0040" cy="264795"/>
              <wp:effectExtent l="0" t="0" r="0" b="0"/>
              <wp:wrapNone/>
              <wp:docPr id="6"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20040" cy="264795"/>
                      </a:xfrm>
                      <a:prstGeom prst="rect">
                        <a:avLst/>
                      </a:prstGeom>
                      <a:noFill/>
                      <a:ln>
                        <a:noFill/>
                      </a:ln>
                    </wps:spPr>
                    <wps:txbx>
                      <w:txbxContent>
                        <w:p>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20.85pt;width:25.2pt;mso-position-horizontal:center;mso-position-horizontal-relative:margin;z-index:251659264;mso-width-relative:page;mso-height-relative:page;" filled="f" stroked="f" coordsize="21600,21600" o:gfxdata="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eZew9IAAAADAQAADwAAAAAAAAABACAAAAAiAAAAZHJzL2Rvd25yZXYueG1s&#10;UEsBAhQAFAAAAAgAh07iQJEHIj3+AQAABgQAAA4AAAAAAAAAAQAgAAAAIQEAAGRycy9lMm9Eb2Mu&#10;eG1sUEsFBgAAAAAGAAYAWQEAAJEFAAAAAA==&#10;">
              <v:fill on="f" focussize="0,0"/>
              <v:stroke on="f"/>
              <v:imagedata o:title=""/>
              <o:lock v:ext="edit" aspectratio="f"/>
              <v:textbox inset="0mm,0mm,0mm,0mm" style="mso-fit-shape-to-text:t;">
                <w:txbxContent>
                  <w:p>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- 22 -</w:t>
    </w:r>
    <w:r>
      <w:rPr>
        <w:rFonts w:ascii="宋体" w:hAnsi="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125C"/>
    <w:multiLevelType w:val="singleLevel"/>
    <w:tmpl w:val="B9E5125C"/>
    <w:lvl w:ilvl="0" w:tentative="0">
      <w:start w:val="2"/>
      <w:numFmt w:val="chineseCounting"/>
      <w:suff w:val="nothing"/>
      <w:lvlText w:val="%1、"/>
      <w:lvlJc w:val="left"/>
      <w:rPr>
        <w:rFonts w:hint="eastAsia"/>
      </w:rPr>
    </w:lvl>
  </w:abstractNum>
  <w:abstractNum w:abstractNumId="1">
    <w:nsid w:val="CB7B9510"/>
    <w:multiLevelType w:val="singleLevel"/>
    <w:tmpl w:val="CB7B9510"/>
    <w:lvl w:ilvl="0" w:tentative="0">
      <w:start w:val="1"/>
      <w:numFmt w:val="decimal"/>
      <w:suff w:val="nothing"/>
      <w:lvlText w:val="（%1）"/>
      <w:lvlJc w:val="left"/>
    </w:lvl>
  </w:abstractNum>
  <w:abstractNum w:abstractNumId="2">
    <w:nsid w:val="F71A9805"/>
    <w:multiLevelType w:val="singleLevel"/>
    <w:tmpl w:val="F71A9805"/>
    <w:lvl w:ilvl="0" w:tentative="0">
      <w:start w:val="1"/>
      <w:numFmt w:val="decimal"/>
      <w:suff w:val="nothing"/>
      <w:lvlText w:val="%1．"/>
      <w:lvlJc w:val="left"/>
      <w:pPr>
        <w:ind w:left="0" w:firstLine="400"/>
      </w:pPr>
      <w:rPr>
        <w:rFonts w:hint="default"/>
      </w:rPr>
    </w:lvl>
  </w:abstractNum>
  <w:abstractNum w:abstractNumId="3">
    <w:nsid w:val="FFB13BCB"/>
    <w:multiLevelType w:val="singleLevel"/>
    <w:tmpl w:val="FFB13BCB"/>
    <w:lvl w:ilvl="0" w:tentative="0">
      <w:start w:val="1"/>
      <w:numFmt w:val="decimal"/>
      <w:lvlText w:val="(%1)"/>
      <w:lvlJc w:val="left"/>
      <w:pPr>
        <w:ind w:left="425" w:hanging="425"/>
      </w:pPr>
      <w:rPr>
        <w:rFonts w:hint="default"/>
      </w:rPr>
    </w:lvl>
  </w:abstractNum>
  <w:abstractNum w:abstractNumId="4">
    <w:nsid w:val="68A66E19"/>
    <w:multiLevelType w:val="singleLevel"/>
    <w:tmpl w:val="68A66E19"/>
    <w:lvl w:ilvl="0" w:tentative="0">
      <w:start w:val="5"/>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TRjNWJkNmM0MThiYTUzMTVhNmY1MWIzYjVjY2IifQ=="/>
  </w:docVars>
  <w:rsids>
    <w:rsidRoot w:val="674E71E1"/>
    <w:rsid w:val="00017F30"/>
    <w:rsid w:val="00042329"/>
    <w:rsid w:val="0012191C"/>
    <w:rsid w:val="00190B06"/>
    <w:rsid w:val="001B5DCC"/>
    <w:rsid w:val="00263204"/>
    <w:rsid w:val="002800BB"/>
    <w:rsid w:val="002A7913"/>
    <w:rsid w:val="00381862"/>
    <w:rsid w:val="003B6FF8"/>
    <w:rsid w:val="00401E92"/>
    <w:rsid w:val="00506AF2"/>
    <w:rsid w:val="00520B28"/>
    <w:rsid w:val="006B7240"/>
    <w:rsid w:val="006E16D3"/>
    <w:rsid w:val="00743C42"/>
    <w:rsid w:val="007B73F5"/>
    <w:rsid w:val="007E4271"/>
    <w:rsid w:val="00834821"/>
    <w:rsid w:val="00842084"/>
    <w:rsid w:val="008E3CB0"/>
    <w:rsid w:val="00913EAF"/>
    <w:rsid w:val="00964979"/>
    <w:rsid w:val="009A2823"/>
    <w:rsid w:val="00AE6838"/>
    <w:rsid w:val="00B52CE1"/>
    <w:rsid w:val="00C002AE"/>
    <w:rsid w:val="00C85F45"/>
    <w:rsid w:val="00D17256"/>
    <w:rsid w:val="00D8095E"/>
    <w:rsid w:val="00DF53BB"/>
    <w:rsid w:val="00E4009F"/>
    <w:rsid w:val="00F16DA3"/>
    <w:rsid w:val="00FF55D3"/>
    <w:rsid w:val="01282E62"/>
    <w:rsid w:val="01621102"/>
    <w:rsid w:val="016C2D4F"/>
    <w:rsid w:val="017E06FA"/>
    <w:rsid w:val="018362EB"/>
    <w:rsid w:val="01885952"/>
    <w:rsid w:val="01A771AF"/>
    <w:rsid w:val="01C0753F"/>
    <w:rsid w:val="022A6766"/>
    <w:rsid w:val="023A1757"/>
    <w:rsid w:val="024A62E3"/>
    <w:rsid w:val="0273508C"/>
    <w:rsid w:val="02932AA9"/>
    <w:rsid w:val="02990186"/>
    <w:rsid w:val="02CB6D30"/>
    <w:rsid w:val="02F17328"/>
    <w:rsid w:val="031D0169"/>
    <w:rsid w:val="03433852"/>
    <w:rsid w:val="03550DCC"/>
    <w:rsid w:val="03C055D4"/>
    <w:rsid w:val="03DF6A02"/>
    <w:rsid w:val="0413495A"/>
    <w:rsid w:val="041876E4"/>
    <w:rsid w:val="04333A04"/>
    <w:rsid w:val="046046C1"/>
    <w:rsid w:val="04B90520"/>
    <w:rsid w:val="04EA21E6"/>
    <w:rsid w:val="04FC7EA9"/>
    <w:rsid w:val="05A2757E"/>
    <w:rsid w:val="05EC26B0"/>
    <w:rsid w:val="065B7F0A"/>
    <w:rsid w:val="06A077CA"/>
    <w:rsid w:val="071B109F"/>
    <w:rsid w:val="072308DB"/>
    <w:rsid w:val="075954A1"/>
    <w:rsid w:val="07A9705F"/>
    <w:rsid w:val="07CC2BBE"/>
    <w:rsid w:val="07E13D6B"/>
    <w:rsid w:val="080D60AD"/>
    <w:rsid w:val="085E53BC"/>
    <w:rsid w:val="08744BDF"/>
    <w:rsid w:val="0878647D"/>
    <w:rsid w:val="087D1CE6"/>
    <w:rsid w:val="089622E5"/>
    <w:rsid w:val="08B024B2"/>
    <w:rsid w:val="08EC0C19"/>
    <w:rsid w:val="09031350"/>
    <w:rsid w:val="09322836"/>
    <w:rsid w:val="09AF4D93"/>
    <w:rsid w:val="09EB2C7F"/>
    <w:rsid w:val="0A30590A"/>
    <w:rsid w:val="0A6B4400"/>
    <w:rsid w:val="0A701080"/>
    <w:rsid w:val="0A8A2498"/>
    <w:rsid w:val="0A9D2B62"/>
    <w:rsid w:val="0AA03A6A"/>
    <w:rsid w:val="0AB614DF"/>
    <w:rsid w:val="0B6C35BF"/>
    <w:rsid w:val="0B811AED"/>
    <w:rsid w:val="0B853982"/>
    <w:rsid w:val="0BA00739"/>
    <w:rsid w:val="0BC22DAB"/>
    <w:rsid w:val="0BCD6AE0"/>
    <w:rsid w:val="0BCF0AAA"/>
    <w:rsid w:val="0BF3588E"/>
    <w:rsid w:val="0BF53D39"/>
    <w:rsid w:val="0C93296B"/>
    <w:rsid w:val="0CA30083"/>
    <w:rsid w:val="0CCF43AF"/>
    <w:rsid w:val="0CDA75FE"/>
    <w:rsid w:val="0CE55A78"/>
    <w:rsid w:val="0CE642FD"/>
    <w:rsid w:val="0CFF53BF"/>
    <w:rsid w:val="0D735980"/>
    <w:rsid w:val="0D9F6230"/>
    <w:rsid w:val="0DB579C7"/>
    <w:rsid w:val="0DC140A4"/>
    <w:rsid w:val="0E0E24E5"/>
    <w:rsid w:val="0E2055ED"/>
    <w:rsid w:val="0E28765A"/>
    <w:rsid w:val="0E941B37"/>
    <w:rsid w:val="0E9E3BDC"/>
    <w:rsid w:val="0EC35F79"/>
    <w:rsid w:val="0EC8358F"/>
    <w:rsid w:val="0EF10D38"/>
    <w:rsid w:val="0EFF07FD"/>
    <w:rsid w:val="0F0C791F"/>
    <w:rsid w:val="0F121014"/>
    <w:rsid w:val="0F346E76"/>
    <w:rsid w:val="0F460A03"/>
    <w:rsid w:val="0F4B3A9A"/>
    <w:rsid w:val="0F5124E0"/>
    <w:rsid w:val="0F626D0F"/>
    <w:rsid w:val="0F890F70"/>
    <w:rsid w:val="0FA14F53"/>
    <w:rsid w:val="0FC41FA8"/>
    <w:rsid w:val="0FC7113A"/>
    <w:rsid w:val="0FEB5255"/>
    <w:rsid w:val="101C7C40"/>
    <w:rsid w:val="1033355D"/>
    <w:rsid w:val="104F3F68"/>
    <w:rsid w:val="1053332C"/>
    <w:rsid w:val="107A0E4F"/>
    <w:rsid w:val="107D739E"/>
    <w:rsid w:val="10985C08"/>
    <w:rsid w:val="10AC1896"/>
    <w:rsid w:val="10B9790D"/>
    <w:rsid w:val="10BF797F"/>
    <w:rsid w:val="10D17073"/>
    <w:rsid w:val="1176055B"/>
    <w:rsid w:val="119E7FF4"/>
    <w:rsid w:val="11A07FD3"/>
    <w:rsid w:val="11A7392F"/>
    <w:rsid w:val="11CD3B5E"/>
    <w:rsid w:val="11D54078"/>
    <w:rsid w:val="11F801BC"/>
    <w:rsid w:val="12333826"/>
    <w:rsid w:val="123563C8"/>
    <w:rsid w:val="124B075F"/>
    <w:rsid w:val="12705D8B"/>
    <w:rsid w:val="13361705"/>
    <w:rsid w:val="13696CB6"/>
    <w:rsid w:val="138F0B1F"/>
    <w:rsid w:val="139305A8"/>
    <w:rsid w:val="13B86594"/>
    <w:rsid w:val="13BA5B9C"/>
    <w:rsid w:val="13EF7C2B"/>
    <w:rsid w:val="13F26FD5"/>
    <w:rsid w:val="14045069"/>
    <w:rsid w:val="143516C6"/>
    <w:rsid w:val="149503B7"/>
    <w:rsid w:val="14EC0CC3"/>
    <w:rsid w:val="14F65E76"/>
    <w:rsid w:val="150F6DF8"/>
    <w:rsid w:val="1543676F"/>
    <w:rsid w:val="155B0EC6"/>
    <w:rsid w:val="156F7CA0"/>
    <w:rsid w:val="1576198F"/>
    <w:rsid w:val="158D520F"/>
    <w:rsid w:val="15B42ABF"/>
    <w:rsid w:val="15F97D4A"/>
    <w:rsid w:val="162C7035"/>
    <w:rsid w:val="16306CA8"/>
    <w:rsid w:val="166644F2"/>
    <w:rsid w:val="16870C0F"/>
    <w:rsid w:val="16BA1B84"/>
    <w:rsid w:val="16DA4FD1"/>
    <w:rsid w:val="16F4509D"/>
    <w:rsid w:val="173C56DA"/>
    <w:rsid w:val="175C61BB"/>
    <w:rsid w:val="177608A9"/>
    <w:rsid w:val="178169D1"/>
    <w:rsid w:val="179F1A9C"/>
    <w:rsid w:val="17B005C2"/>
    <w:rsid w:val="17B828A7"/>
    <w:rsid w:val="17FB6783"/>
    <w:rsid w:val="1833416F"/>
    <w:rsid w:val="18544FDE"/>
    <w:rsid w:val="18716BC7"/>
    <w:rsid w:val="188A1CB5"/>
    <w:rsid w:val="18D07C10"/>
    <w:rsid w:val="18F21142"/>
    <w:rsid w:val="19471AF7"/>
    <w:rsid w:val="195E346D"/>
    <w:rsid w:val="198729C4"/>
    <w:rsid w:val="19BC67C0"/>
    <w:rsid w:val="19F54985"/>
    <w:rsid w:val="1A1D5407"/>
    <w:rsid w:val="1A521BD4"/>
    <w:rsid w:val="1A55585F"/>
    <w:rsid w:val="1A714612"/>
    <w:rsid w:val="1A7171D0"/>
    <w:rsid w:val="1ABD5F72"/>
    <w:rsid w:val="1ACC0E4D"/>
    <w:rsid w:val="1B0D7823"/>
    <w:rsid w:val="1B46240B"/>
    <w:rsid w:val="1BE04FFD"/>
    <w:rsid w:val="1C072BC1"/>
    <w:rsid w:val="1C280A6A"/>
    <w:rsid w:val="1C281B11"/>
    <w:rsid w:val="1CFD21BF"/>
    <w:rsid w:val="1D02521F"/>
    <w:rsid w:val="1D631052"/>
    <w:rsid w:val="1D764640"/>
    <w:rsid w:val="1D7F2733"/>
    <w:rsid w:val="1D823B84"/>
    <w:rsid w:val="1D9F31B7"/>
    <w:rsid w:val="1DBC6B05"/>
    <w:rsid w:val="1DF84907"/>
    <w:rsid w:val="1E0F7527"/>
    <w:rsid w:val="1E187582"/>
    <w:rsid w:val="1E475F81"/>
    <w:rsid w:val="1E7C5443"/>
    <w:rsid w:val="1E8A0861"/>
    <w:rsid w:val="1E8B555E"/>
    <w:rsid w:val="1E9D144C"/>
    <w:rsid w:val="1EB47E90"/>
    <w:rsid w:val="1EBA51E9"/>
    <w:rsid w:val="1EE44415"/>
    <w:rsid w:val="1EEB06E4"/>
    <w:rsid w:val="1F0C7643"/>
    <w:rsid w:val="1F274302"/>
    <w:rsid w:val="1F773AA6"/>
    <w:rsid w:val="1F8E21BB"/>
    <w:rsid w:val="1F9000F9"/>
    <w:rsid w:val="1FF16DE9"/>
    <w:rsid w:val="1FF561AE"/>
    <w:rsid w:val="20150C7D"/>
    <w:rsid w:val="2039253E"/>
    <w:rsid w:val="204A18FA"/>
    <w:rsid w:val="208A089B"/>
    <w:rsid w:val="209A4CDE"/>
    <w:rsid w:val="20BD6CCC"/>
    <w:rsid w:val="20C319E1"/>
    <w:rsid w:val="20C53DD2"/>
    <w:rsid w:val="213C6119"/>
    <w:rsid w:val="21577120"/>
    <w:rsid w:val="21947BAF"/>
    <w:rsid w:val="21967908"/>
    <w:rsid w:val="219B5187"/>
    <w:rsid w:val="21EF7359"/>
    <w:rsid w:val="22237002"/>
    <w:rsid w:val="22244B28"/>
    <w:rsid w:val="22277688"/>
    <w:rsid w:val="226D67AE"/>
    <w:rsid w:val="229C0B63"/>
    <w:rsid w:val="22A73DB2"/>
    <w:rsid w:val="22D73594"/>
    <w:rsid w:val="2318468D"/>
    <w:rsid w:val="232460AA"/>
    <w:rsid w:val="23290CD7"/>
    <w:rsid w:val="232D5CAE"/>
    <w:rsid w:val="23537469"/>
    <w:rsid w:val="23877555"/>
    <w:rsid w:val="23D22A8E"/>
    <w:rsid w:val="24343749"/>
    <w:rsid w:val="2471674B"/>
    <w:rsid w:val="24A33F3A"/>
    <w:rsid w:val="24D340B6"/>
    <w:rsid w:val="25412F98"/>
    <w:rsid w:val="25C0545F"/>
    <w:rsid w:val="25E12B98"/>
    <w:rsid w:val="26103D41"/>
    <w:rsid w:val="261A071C"/>
    <w:rsid w:val="267C13D7"/>
    <w:rsid w:val="26C74386"/>
    <w:rsid w:val="26E2748C"/>
    <w:rsid w:val="26E86090"/>
    <w:rsid w:val="27340A7A"/>
    <w:rsid w:val="273B3040"/>
    <w:rsid w:val="2761047D"/>
    <w:rsid w:val="2780735F"/>
    <w:rsid w:val="27A74232"/>
    <w:rsid w:val="27B07189"/>
    <w:rsid w:val="27C76682"/>
    <w:rsid w:val="27DF4A85"/>
    <w:rsid w:val="280D66D8"/>
    <w:rsid w:val="283C7103"/>
    <w:rsid w:val="2840643F"/>
    <w:rsid w:val="285625E9"/>
    <w:rsid w:val="288051AE"/>
    <w:rsid w:val="288E0F4E"/>
    <w:rsid w:val="28B12D73"/>
    <w:rsid w:val="28BB2809"/>
    <w:rsid w:val="28E4415A"/>
    <w:rsid w:val="29235BE0"/>
    <w:rsid w:val="29675C05"/>
    <w:rsid w:val="29A9038D"/>
    <w:rsid w:val="2A1738F0"/>
    <w:rsid w:val="2A7054D7"/>
    <w:rsid w:val="2A950CB9"/>
    <w:rsid w:val="2AC13571"/>
    <w:rsid w:val="2AD621FA"/>
    <w:rsid w:val="2AF53506"/>
    <w:rsid w:val="2B564985"/>
    <w:rsid w:val="2B5818AD"/>
    <w:rsid w:val="2B665B67"/>
    <w:rsid w:val="2B9E594C"/>
    <w:rsid w:val="2BC33129"/>
    <w:rsid w:val="2BFB4B4C"/>
    <w:rsid w:val="2C575892"/>
    <w:rsid w:val="2C7754B3"/>
    <w:rsid w:val="2C7D0097"/>
    <w:rsid w:val="2CD4496A"/>
    <w:rsid w:val="2D066776"/>
    <w:rsid w:val="2D95399B"/>
    <w:rsid w:val="2E0D6467"/>
    <w:rsid w:val="2E2F6D2F"/>
    <w:rsid w:val="2E333452"/>
    <w:rsid w:val="2E7D243B"/>
    <w:rsid w:val="2E8B43DD"/>
    <w:rsid w:val="2E953036"/>
    <w:rsid w:val="2E964C51"/>
    <w:rsid w:val="2E9C291E"/>
    <w:rsid w:val="2ED3496F"/>
    <w:rsid w:val="2F034F54"/>
    <w:rsid w:val="2F3F4D68"/>
    <w:rsid w:val="2F8051D3"/>
    <w:rsid w:val="2FE75B13"/>
    <w:rsid w:val="2FFE4C0B"/>
    <w:rsid w:val="304E08DD"/>
    <w:rsid w:val="30621B6B"/>
    <w:rsid w:val="30872C7E"/>
    <w:rsid w:val="30DB685F"/>
    <w:rsid w:val="31085D41"/>
    <w:rsid w:val="31987F45"/>
    <w:rsid w:val="31B974A6"/>
    <w:rsid w:val="31D52EFF"/>
    <w:rsid w:val="324C6101"/>
    <w:rsid w:val="32A043F6"/>
    <w:rsid w:val="32C0314B"/>
    <w:rsid w:val="32C21506"/>
    <w:rsid w:val="33151AA7"/>
    <w:rsid w:val="331D7338"/>
    <w:rsid w:val="333A748E"/>
    <w:rsid w:val="33616AC0"/>
    <w:rsid w:val="337B2999"/>
    <w:rsid w:val="33835B53"/>
    <w:rsid w:val="33857B1D"/>
    <w:rsid w:val="33C050B4"/>
    <w:rsid w:val="33CF1CC9"/>
    <w:rsid w:val="33E87939"/>
    <w:rsid w:val="33FB138E"/>
    <w:rsid w:val="34146F01"/>
    <w:rsid w:val="34154920"/>
    <w:rsid w:val="344C44DE"/>
    <w:rsid w:val="344E0945"/>
    <w:rsid w:val="34B80D80"/>
    <w:rsid w:val="34BB2F48"/>
    <w:rsid w:val="34EC3BCC"/>
    <w:rsid w:val="35214F62"/>
    <w:rsid w:val="35DB6085"/>
    <w:rsid w:val="362E5D3E"/>
    <w:rsid w:val="36483DE4"/>
    <w:rsid w:val="36565620"/>
    <w:rsid w:val="36C941C4"/>
    <w:rsid w:val="36D458DC"/>
    <w:rsid w:val="36EC7002"/>
    <w:rsid w:val="36F079A3"/>
    <w:rsid w:val="37556589"/>
    <w:rsid w:val="375804F8"/>
    <w:rsid w:val="37623CD1"/>
    <w:rsid w:val="37705365"/>
    <w:rsid w:val="37734130"/>
    <w:rsid w:val="37922B9E"/>
    <w:rsid w:val="379C71E3"/>
    <w:rsid w:val="37C605A9"/>
    <w:rsid w:val="37C678CF"/>
    <w:rsid w:val="37D4437D"/>
    <w:rsid w:val="38287A28"/>
    <w:rsid w:val="383E64EC"/>
    <w:rsid w:val="38665811"/>
    <w:rsid w:val="38E10E00"/>
    <w:rsid w:val="38F65019"/>
    <w:rsid w:val="39861D4E"/>
    <w:rsid w:val="3990216F"/>
    <w:rsid w:val="39A474AC"/>
    <w:rsid w:val="39AB7BB1"/>
    <w:rsid w:val="3A492B3A"/>
    <w:rsid w:val="3A5C6EB6"/>
    <w:rsid w:val="3A6F399A"/>
    <w:rsid w:val="3A845F43"/>
    <w:rsid w:val="3A8D72B7"/>
    <w:rsid w:val="3AA959C6"/>
    <w:rsid w:val="3AB54CFA"/>
    <w:rsid w:val="3ADB3E34"/>
    <w:rsid w:val="3B6049CB"/>
    <w:rsid w:val="3B675D5A"/>
    <w:rsid w:val="3B9C0E75"/>
    <w:rsid w:val="3BC27434"/>
    <w:rsid w:val="3BED1DEF"/>
    <w:rsid w:val="3C1B7B8B"/>
    <w:rsid w:val="3C270EB1"/>
    <w:rsid w:val="3C367414"/>
    <w:rsid w:val="3C53008C"/>
    <w:rsid w:val="3CA9044A"/>
    <w:rsid w:val="3CAD507B"/>
    <w:rsid w:val="3CD86617"/>
    <w:rsid w:val="3CFE679F"/>
    <w:rsid w:val="3D22018A"/>
    <w:rsid w:val="3D2D1E01"/>
    <w:rsid w:val="3D4D2D2E"/>
    <w:rsid w:val="3D580050"/>
    <w:rsid w:val="3D7F55DD"/>
    <w:rsid w:val="3DE80316"/>
    <w:rsid w:val="3DED1348"/>
    <w:rsid w:val="3DF156C8"/>
    <w:rsid w:val="3E09134A"/>
    <w:rsid w:val="3E104487"/>
    <w:rsid w:val="3E404EB6"/>
    <w:rsid w:val="3E6612A4"/>
    <w:rsid w:val="3E67734B"/>
    <w:rsid w:val="3E68655E"/>
    <w:rsid w:val="3E772B7B"/>
    <w:rsid w:val="3EBC63BD"/>
    <w:rsid w:val="3ED100BA"/>
    <w:rsid w:val="3EEF740A"/>
    <w:rsid w:val="3F081602"/>
    <w:rsid w:val="3F9D7F9C"/>
    <w:rsid w:val="3FB26A2D"/>
    <w:rsid w:val="3FC54713"/>
    <w:rsid w:val="3FE22387"/>
    <w:rsid w:val="3FF95D61"/>
    <w:rsid w:val="4013272D"/>
    <w:rsid w:val="406C1E61"/>
    <w:rsid w:val="406E5C31"/>
    <w:rsid w:val="40A22019"/>
    <w:rsid w:val="40CA7445"/>
    <w:rsid w:val="41406E31"/>
    <w:rsid w:val="418952B9"/>
    <w:rsid w:val="41CE4BB0"/>
    <w:rsid w:val="41E950DD"/>
    <w:rsid w:val="41FB544E"/>
    <w:rsid w:val="420B0DC3"/>
    <w:rsid w:val="424F1CD2"/>
    <w:rsid w:val="426155F1"/>
    <w:rsid w:val="42BA70B7"/>
    <w:rsid w:val="42C915FB"/>
    <w:rsid w:val="42D33CD5"/>
    <w:rsid w:val="42E47664"/>
    <w:rsid w:val="42FC322C"/>
    <w:rsid w:val="430A5206"/>
    <w:rsid w:val="431959BC"/>
    <w:rsid w:val="43282273"/>
    <w:rsid w:val="43505326"/>
    <w:rsid w:val="4353306C"/>
    <w:rsid w:val="43685634"/>
    <w:rsid w:val="43880F63"/>
    <w:rsid w:val="440D17A7"/>
    <w:rsid w:val="440D19F0"/>
    <w:rsid w:val="442B1671"/>
    <w:rsid w:val="44501A81"/>
    <w:rsid w:val="44936A7C"/>
    <w:rsid w:val="44BC7D8E"/>
    <w:rsid w:val="44DA57EF"/>
    <w:rsid w:val="44FF34A7"/>
    <w:rsid w:val="45080A9F"/>
    <w:rsid w:val="452C3067"/>
    <w:rsid w:val="45594965"/>
    <w:rsid w:val="45684F63"/>
    <w:rsid w:val="45AF268D"/>
    <w:rsid w:val="45B86D45"/>
    <w:rsid w:val="45F006E9"/>
    <w:rsid w:val="462205ED"/>
    <w:rsid w:val="467852BF"/>
    <w:rsid w:val="468B2D46"/>
    <w:rsid w:val="46A85C17"/>
    <w:rsid w:val="46B04A59"/>
    <w:rsid w:val="46BB3FA7"/>
    <w:rsid w:val="46BF4803"/>
    <w:rsid w:val="46D30747"/>
    <w:rsid w:val="475A7E8D"/>
    <w:rsid w:val="47743A84"/>
    <w:rsid w:val="47AA2E0D"/>
    <w:rsid w:val="47CD0BC3"/>
    <w:rsid w:val="47FA14D4"/>
    <w:rsid w:val="48122ACC"/>
    <w:rsid w:val="48253225"/>
    <w:rsid w:val="48435459"/>
    <w:rsid w:val="4882498D"/>
    <w:rsid w:val="48A56114"/>
    <w:rsid w:val="48BE03E0"/>
    <w:rsid w:val="48E924A4"/>
    <w:rsid w:val="49332FD1"/>
    <w:rsid w:val="494C7225"/>
    <w:rsid w:val="4961203A"/>
    <w:rsid w:val="496D36E4"/>
    <w:rsid w:val="49886D20"/>
    <w:rsid w:val="49957F36"/>
    <w:rsid w:val="49A501F5"/>
    <w:rsid w:val="49A90A92"/>
    <w:rsid w:val="49AD5280"/>
    <w:rsid w:val="4A0C644A"/>
    <w:rsid w:val="4A11628C"/>
    <w:rsid w:val="4A5F659C"/>
    <w:rsid w:val="4A703A0E"/>
    <w:rsid w:val="4A9E49F2"/>
    <w:rsid w:val="4AB368C6"/>
    <w:rsid w:val="4AC54891"/>
    <w:rsid w:val="4AEF3676"/>
    <w:rsid w:val="4AF31227"/>
    <w:rsid w:val="4AFD3FE5"/>
    <w:rsid w:val="4B4439C2"/>
    <w:rsid w:val="4B494ABD"/>
    <w:rsid w:val="4B626DA5"/>
    <w:rsid w:val="4B6D3026"/>
    <w:rsid w:val="4C161427"/>
    <w:rsid w:val="4C40062D"/>
    <w:rsid w:val="4C464815"/>
    <w:rsid w:val="4C5E497C"/>
    <w:rsid w:val="4C7E52D4"/>
    <w:rsid w:val="4CC27294"/>
    <w:rsid w:val="4CC6676F"/>
    <w:rsid w:val="4CD80866"/>
    <w:rsid w:val="4CE12B81"/>
    <w:rsid w:val="4CFF4044"/>
    <w:rsid w:val="4D10183F"/>
    <w:rsid w:val="4D7F3A3B"/>
    <w:rsid w:val="4D872E85"/>
    <w:rsid w:val="4E0A7426"/>
    <w:rsid w:val="4E6044C0"/>
    <w:rsid w:val="4E62607A"/>
    <w:rsid w:val="4E704CA0"/>
    <w:rsid w:val="4EC762F8"/>
    <w:rsid w:val="4ED92673"/>
    <w:rsid w:val="4EE266CB"/>
    <w:rsid w:val="4F1A33B7"/>
    <w:rsid w:val="4F8B0395"/>
    <w:rsid w:val="4FBE4CFD"/>
    <w:rsid w:val="4FC96B8B"/>
    <w:rsid w:val="4FD73056"/>
    <w:rsid w:val="4FE047F5"/>
    <w:rsid w:val="4FEA7F02"/>
    <w:rsid w:val="50642E6C"/>
    <w:rsid w:val="50727FCD"/>
    <w:rsid w:val="50865B9C"/>
    <w:rsid w:val="50E60645"/>
    <w:rsid w:val="50F1639A"/>
    <w:rsid w:val="51586419"/>
    <w:rsid w:val="51793DE8"/>
    <w:rsid w:val="51BB732A"/>
    <w:rsid w:val="520774F7"/>
    <w:rsid w:val="526861E8"/>
    <w:rsid w:val="527B65A8"/>
    <w:rsid w:val="528207D4"/>
    <w:rsid w:val="52833DE6"/>
    <w:rsid w:val="52BE04FE"/>
    <w:rsid w:val="53A635B6"/>
    <w:rsid w:val="540E29BD"/>
    <w:rsid w:val="54424CE4"/>
    <w:rsid w:val="546D21DB"/>
    <w:rsid w:val="54983E0A"/>
    <w:rsid w:val="54A86D6F"/>
    <w:rsid w:val="54D94D97"/>
    <w:rsid w:val="54E00345"/>
    <w:rsid w:val="54F2448F"/>
    <w:rsid w:val="55102B67"/>
    <w:rsid w:val="5534067A"/>
    <w:rsid w:val="55AB447D"/>
    <w:rsid w:val="55DB79C3"/>
    <w:rsid w:val="562F5223"/>
    <w:rsid w:val="565B0FA6"/>
    <w:rsid w:val="56A321A6"/>
    <w:rsid w:val="56BC2280"/>
    <w:rsid w:val="56C41937"/>
    <w:rsid w:val="571075BA"/>
    <w:rsid w:val="57546334"/>
    <w:rsid w:val="57747180"/>
    <w:rsid w:val="57BB5886"/>
    <w:rsid w:val="57EA3B43"/>
    <w:rsid w:val="580F2430"/>
    <w:rsid w:val="58260A48"/>
    <w:rsid w:val="583F5C3D"/>
    <w:rsid w:val="58463752"/>
    <w:rsid w:val="5846521D"/>
    <w:rsid w:val="585614FD"/>
    <w:rsid w:val="58933AE8"/>
    <w:rsid w:val="58A21C3E"/>
    <w:rsid w:val="58A27F7A"/>
    <w:rsid w:val="58C94518"/>
    <w:rsid w:val="58CD4E39"/>
    <w:rsid w:val="58D81BED"/>
    <w:rsid w:val="595473B4"/>
    <w:rsid w:val="596E50AC"/>
    <w:rsid w:val="59AB58C0"/>
    <w:rsid w:val="59D679F0"/>
    <w:rsid w:val="59FA2856"/>
    <w:rsid w:val="5A0021E1"/>
    <w:rsid w:val="5A1F5D26"/>
    <w:rsid w:val="5A421D46"/>
    <w:rsid w:val="5A851901"/>
    <w:rsid w:val="5A93401E"/>
    <w:rsid w:val="5AA04C66"/>
    <w:rsid w:val="5AA879F8"/>
    <w:rsid w:val="5AC063CC"/>
    <w:rsid w:val="5ACB568D"/>
    <w:rsid w:val="5AED7BD2"/>
    <w:rsid w:val="5B303F63"/>
    <w:rsid w:val="5B394BC5"/>
    <w:rsid w:val="5B4C0C52"/>
    <w:rsid w:val="5BAB15ED"/>
    <w:rsid w:val="5BC85F49"/>
    <w:rsid w:val="5C3261B0"/>
    <w:rsid w:val="5C7B73B2"/>
    <w:rsid w:val="5CAE15E3"/>
    <w:rsid w:val="5CEB1D65"/>
    <w:rsid w:val="5D011D82"/>
    <w:rsid w:val="5D0B07E3"/>
    <w:rsid w:val="5D1A2159"/>
    <w:rsid w:val="5D3D30A3"/>
    <w:rsid w:val="5D961160"/>
    <w:rsid w:val="5DD706C5"/>
    <w:rsid w:val="5DDD2180"/>
    <w:rsid w:val="5DEA03F9"/>
    <w:rsid w:val="5DFB0858"/>
    <w:rsid w:val="5DFC3D6C"/>
    <w:rsid w:val="5E036B6F"/>
    <w:rsid w:val="5E1B4A56"/>
    <w:rsid w:val="5E2F22B0"/>
    <w:rsid w:val="5E51046C"/>
    <w:rsid w:val="5E856373"/>
    <w:rsid w:val="5E9D546B"/>
    <w:rsid w:val="5EF05EE3"/>
    <w:rsid w:val="5EF35F12"/>
    <w:rsid w:val="5EF62DCD"/>
    <w:rsid w:val="5EF86DE5"/>
    <w:rsid w:val="5F134B5C"/>
    <w:rsid w:val="5F261904"/>
    <w:rsid w:val="5F3D09FC"/>
    <w:rsid w:val="5F6E6E08"/>
    <w:rsid w:val="5F700457"/>
    <w:rsid w:val="5F7067A6"/>
    <w:rsid w:val="5F746E39"/>
    <w:rsid w:val="5F8623A3"/>
    <w:rsid w:val="5FB962D5"/>
    <w:rsid w:val="5FBE4814"/>
    <w:rsid w:val="5FEB0458"/>
    <w:rsid w:val="5FED2422"/>
    <w:rsid w:val="600A269D"/>
    <w:rsid w:val="600B28A8"/>
    <w:rsid w:val="602D36CC"/>
    <w:rsid w:val="605A55B4"/>
    <w:rsid w:val="60C05441"/>
    <w:rsid w:val="60E4448C"/>
    <w:rsid w:val="6112266B"/>
    <w:rsid w:val="6118702B"/>
    <w:rsid w:val="611E284E"/>
    <w:rsid w:val="61A24913"/>
    <w:rsid w:val="61D72B61"/>
    <w:rsid w:val="6200366A"/>
    <w:rsid w:val="623205C0"/>
    <w:rsid w:val="623D5F17"/>
    <w:rsid w:val="624773B1"/>
    <w:rsid w:val="62483261"/>
    <w:rsid w:val="62614A02"/>
    <w:rsid w:val="626B71FE"/>
    <w:rsid w:val="62A838F0"/>
    <w:rsid w:val="63424833"/>
    <w:rsid w:val="634C6E4A"/>
    <w:rsid w:val="637013A0"/>
    <w:rsid w:val="63957417"/>
    <w:rsid w:val="63A50FFC"/>
    <w:rsid w:val="63CE12BB"/>
    <w:rsid w:val="63E64E4C"/>
    <w:rsid w:val="63F77651"/>
    <w:rsid w:val="64204BDA"/>
    <w:rsid w:val="6424280C"/>
    <w:rsid w:val="645C727C"/>
    <w:rsid w:val="6488096B"/>
    <w:rsid w:val="64CA2D32"/>
    <w:rsid w:val="64D013B6"/>
    <w:rsid w:val="64D61014"/>
    <w:rsid w:val="65425CBB"/>
    <w:rsid w:val="65532D27"/>
    <w:rsid w:val="657569BB"/>
    <w:rsid w:val="657B7063"/>
    <w:rsid w:val="65A25A5D"/>
    <w:rsid w:val="65A417D5"/>
    <w:rsid w:val="65DA4280"/>
    <w:rsid w:val="66174B08"/>
    <w:rsid w:val="662B15AE"/>
    <w:rsid w:val="662D5902"/>
    <w:rsid w:val="664F1741"/>
    <w:rsid w:val="6676166C"/>
    <w:rsid w:val="668533B4"/>
    <w:rsid w:val="66AF0431"/>
    <w:rsid w:val="66AF39B5"/>
    <w:rsid w:val="66E43451"/>
    <w:rsid w:val="66F66782"/>
    <w:rsid w:val="671D26B6"/>
    <w:rsid w:val="672229B1"/>
    <w:rsid w:val="67277FC8"/>
    <w:rsid w:val="672B098A"/>
    <w:rsid w:val="674E71E1"/>
    <w:rsid w:val="676A39EF"/>
    <w:rsid w:val="67775307"/>
    <w:rsid w:val="677F3E05"/>
    <w:rsid w:val="67B37AAD"/>
    <w:rsid w:val="67FC580B"/>
    <w:rsid w:val="6841330B"/>
    <w:rsid w:val="685A261F"/>
    <w:rsid w:val="685D3989"/>
    <w:rsid w:val="685F7C35"/>
    <w:rsid w:val="689544C6"/>
    <w:rsid w:val="68A61679"/>
    <w:rsid w:val="69016487"/>
    <w:rsid w:val="69110F2F"/>
    <w:rsid w:val="69701235"/>
    <w:rsid w:val="69934F73"/>
    <w:rsid w:val="69B907A6"/>
    <w:rsid w:val="69C72B58"/>
    <w:rsid w:val="69EA50C1"/>
    <w:rsid w:val="69F86EB8"/>
    <w:rsid w:val="6A203F11"/>
    <w:rsid w:val="6A61335A"/>
    <w:rsid w:val="6A94508F"/>
    <w:rsid w:val="6AA32786"/>
    <w:rsid w:val="6AA90403"/>
    <w:rsid w:val="6AAD1389"/>
    <w:rsid w:val="6AED68FC"/>
    <w:rsid w:val="6B171276"/>
    <w:rsid w:val="6B23319C"/>
    <w:rsid w:val="6B3A4C5E"/>
    <w:rsid w:val="6B3D5CD6"/>
    <w:rsid w:val="6B6F00AB"/>
    <w:rsid w:val="6B7A4BE8"/>
    <w:rsid w:val="6B9D4CFC"/>
    <w:rsid w:val="6BD11376"/>
    <w:rsid w:val="6C0F0094"/>
    <w:rsid w:val="6C4B29AA"/>
    <w:rsid w:val="6CA06D4D"/>
    <w:rsid w:val="6CDE55CC"/>
    <w:rsid w:val="6CFA1CDB"/>
    <w:rsid w:val="6CFD577C"/>
    <w:rsid w:val="6D295792"/>
    <w:rsid w:val="6D4C314B"/>
    <w:rsid w:val="6D8B7FE5"/>
    <w:rsid w:val="6DAE373D"/>
    <w:rsid w:val="6DB334FE"/>
    <w:rsid w:val="6DBA50FC"/>
    <w:rsid w:val="6DD97FC2"/>
    <w:rsid w:val="6DEC3D19"/>
    <w:rsid w:val="6E1B015A"/>
    <w:rsid w:val="6E363953"/>
    <w:rsid w:val="6E623FDB"/>
    <w:rsid w:val="6EC30F1E"/>
    <w:rsid w:val="6ECC76A7"/>
    <w:rsid w:val="6F214D9C"/>
    <w:rsid w:val="6F367410"/>
    <w:rsid w:val="6F511D0A"/>
    <w:rsid w:val="6F692303"/>
    <w:rsid w:val="6F834209"/>
    <w:rsid w:val="6FD32B3E"/>
    <w:rsid w:val="6FE14D9A"/>
    <w:rsid w:val="703710D8"/>
    <w:rsid w:val="706D1B66"/>
    <w:rsid w:val="70701351"/>
    <w:rsid w:val="70994B22"/>
    <w:rsid w:val="709B2943"/>
    <w:rsid w:val="70A305DD"/>
    <w:rsid w:val="70BF3967"/>
    <w:rsid w:val="70DD2E16"/>
    <w:rsid w:val="7104137A"/>
    <w:rsid w:val="711C4915"/>
    <w:rsid w:val="7124524B"/>
    <w:rsid w:val="716D1AC6"/>
    <w:rsid w:val="716F082D"/>
    <w:rsid w:val="718972D1"/>
    <w:rsid w:val="71A14E1B"/>
    <w:rsid w:val="71C11019"/>
    <w:rsid w:val="71CB5840"/>
    <w:rsid w:val="723152D4"/>
    <w:rsid w:val="72361A07"/>
    <w:rsid w:val="72534367"/>
    <w:rsid w:val="72C9287B"/>
    <w:rsid w:val="72CC236B"/>
    <w:rsid w:val="72D0598A"/>
    <w:rsid w:val="72FD63D9"/>
    <w:rsid w:val="73046E24"/>
    <w:rsid w:val="73171838"/>
    <w:rsid w:val="73A17354"/>
    <w:rsid w:val="73A838EF"/>
    <w:rsid w:val="73CD559A"/>
    <w:rsid w:val="73E46A42"/>
    <w:rsid w:val="73E641AE"/>
    <w:rsid w:val="73F24D90"/>
    <w:rsid w:val="742C30C1"/>
    <w:rsid w:val="74534AF2"/>
    <w:rsid w:val="746A25B5"/>
    <w:rsid w:val="74793CB5"/>
    <w:rsid w:val="747C5116"/>
    <w:rsid w:val="749649DF"/>
    <w:rsid w:val="74A30CCE"/>
    <w:rsid w:val="74C3785A"/>
    <w:rsid w:val="74C869CC"/>
    <w:rsid w:val="74E03EAC"/>
    <w:rsid w:val="74E4574A"/>
    <w:rsid w:val="74E463AC"/>
    <w:rsid w:val="74E63744"/>
    <w:rsid w:val="751D2A0A"/>
    <w:rsid w:val="75265D63"/>
    <w:rsid w:val="7541494A"/>
    <w:rsid w:val="75446C73"/>
    <w:rsid w:val="75AD3381"/>
    <w:rsid w:val="75C62C7C"/>
    <w:rsid w:val="765C7562"/>
    <w:rsid w:val="765E4F9C"/>
    <w:rsid w:val="7671024D"/>
    <w:rsid w:val="77223226"/>
    <w:rsid w:val="772A2E7A"/>
    <w:rsid w:val="774626EC"/>
    <w:rsid w:val="775C42C8"/>
    <w:rsid w:val="77CF4F89"/>
    <w:rsid w:val="77EA0268"/>
    <w:rsid w:val="781A76D5"/>
    <w:rsid w:val="7834233F"/>
    <w:rsid w:val="783E0C7F"/>
    <w:rsid w:val="78B94235"/>
    <w:rsid w:val="78D560AF"/>
    <w:rsid w:val="7913401D"/>
    <w:rsid w:val="79763568"/>
    <w:rsid w:val="798766D2"/>
    <w:rsid w:val="79CD0243"/>
    <w:rsid w:val="79F36AF3"/>
    <w:rsid w:val="7A533A07"/>
    <w:rsid w:val="7A79060A"/>
    <w:rsid w:val="7AA17C39"/>
    <w:rsid w:val="7AAD65DE"/>
    <w:rsid w:val="7AB75698"/>
    <w:rsid w:val="7B274CC1"/>
    <w:rsid w:val="7B3F33AD"/>
    <w:rsid w:val="7B4909FD"/>
    <w:rsid w:val="7B7E739B"/>
    <w:rsid w:val="7B954EB2"/>
    <w:rsid w:val="7C394118"/>
    <w:rsid w:val="7C3C6F65"/>
    <w:rsid w:val="7C7D04B4"/>
    <w:rsid w:val="7C9A0DE4"/>
    <w:rsid w:val="7CA37C99"/>
    <w:rsid w:val="7CC92BD9"/>
    <w:rsid w:val="7CF77FE5"/>
    <w:rsid w:val="7D596425"/>
    <w:rsid w:val="7DB163E5"/>
    <w:rsid w:val="7DB92C50"/>
    <w:rsid w:val="7E2C6990"/>
    <w:rsid w:val="7E625BB3"/>
    <w:rsid w:val="7EDB53EC"/>
    <w:rsid w:val="7F4C0ABC"/>
    <w:rsid w:val="7F94330C"/>
    <w:rsid w:val="7FC71168"/>
    <w:rsid w:val="7FD46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1"/>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index 5"/>
    <w:basedOn w:val="1"/>
    <w:next w:val="1"/>
    <w:qFormat/>
    <w:uiPriority w:val="99"/>
    <w:pPr>
      <w:ind w:left="1680"/>
    </w:pPr>
    <w:rPr>
      <w:rFonts w:ascii="Times New Roman" w:hAnsi="Times New Roman"/>
    </w:rPr>
  </w:style>
  <w:style w:type="paragraph" w:styleId="5">
    <w:name w:val="Body Text"/>
    <w:basedOn w:val="1"/>
    <w:qFormat/>
    <w:uiPriority w:val="0"/>
    <w:pPr>
      <w:spacing w:after="120"/>
    </w:pPr>
  </w:style>
  <w:style w:type="paragraph" w:styleId="6">
    <w:name w:val="footer"/>
    <w:basedOn w:val="1"/>
    <w:next w:val="4"/>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qFormat/>
    <w:uiPriority w:val="0"/>
  </w:style>
  <w:style w:type="paragraph" w:customStyle="1" w:styleId="13">
    <w:name w:val="列出段落1"/>
    <w:basedOn w:val="1"/>
    <w:qFormat/>
    <w:uiPriority w:val="99"/>
    <w:pPr>
      <w:ind w:firstLine="420"/>
    </w:pPr>
    <w:rPr>
      <w:rFonts w:ascii="等线" w:hAnsi="等线" w:eastAsia="等线"/>
      <w:szCs w:val="21"/>
    </w:rPr>
  </w:style>
  <w:style w:type="paragraph" w:customStyle="1" w:styleId="14">
    <w:name w:val="Char"/>
    <w:basedOn w:val="1"/>
    <w:next w:val="1"/>
    <w:qFormat/>
    <w:uiPriority w:val="0"/>
    <w:pPr>
      <w:spacing w:after="160" w:line="240" w:lineRule="exact"/>
    </w:pPr>
    <w:rPr>
      <w:rFonts w:ascii="Times New Roman" w:hAnsi="Times New Roman" w:eastAsia="宋体" w:cs="Times New Roman"/>
      <w:kern w:val="2"/>
      <w:szCs w:val="20"/>
    </w:rPr>
  </w:style>
  <w:style w:type="paragraph" w:customStyle="1" w:styleId="15">
    <w:name w:val="列出段落"/>
    <w:basedOn w:val="1"/>
    <w:qFormat/>
    <w:uiPriority w:val="0"/>
    <w:pPr>
      <w:widowControl w:val="0"/>
      <w:spacing w:after="0" w:line="240" w:lineRule="auto"/>
      <w:ind w:firstLine="420" w:firstLineChars="200"/>
      <w:jc w:val="both"/>
    </w:pPr>
    <w:rPr>
      <w:rFonts w:ascii="Calibri" w:hAnsi="Calibri" w:eastAsia="宋体"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lc\Desktop\2022&#24180;6&#26376;&#20892;&#19994;&#23616;\&#24030;&#32511;&#33394;&#39135;&#21697;&#21150;&#20844;&#23460;\13.&#24030;&#32511;&#33394;&#39135;&#21697;&#21150;&#20844;&#23460;2020&#24180;&#24230;&#37096;&#38376;&#25972;&#20307;&#25903;&#20986;&#32489;&#25928;&#33258;&#35780;&#25253;&#21578;(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13.州绿色食品办公室2020年度部门整体支出绩效自评报告(1).dot</Template>
  <Pages>27</Pages>
  <Words>13573</Words>
  <Characters>15169</Characters>
  <Lines>111</Lines>
  <Paragraphs>31</Paragraphs>
  <TotalTime>8</TotalTime>
  <ScaleCrop>false</ScaleCrop>
  <LinksUpToDate>false</LinksUpToDate>
  <CharactersWithSpaces>15707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2022-06-01T04:13:00Z</dcterms:created>
  <dc:creator>xxlc</dc:creator>
  <cp:lastModifiedBy>烟树远Anoxia</cp:lastModifiedBy>
  <cp:lastPrinted>2022-06-02T06:49:00Z</cp:lastPrinted>
  <dcterms:modified xsi:type="dcterms:W3CDTF">2023-06-14T07:09:05Z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EFD6AB633F954D6CAA4247F4B74DCA49_13</vt:lpwstr>
  </property>
</Properties>
</file>