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after="0"/>
        <w:jc w:val="center"/>
        <w:textAlignment w:val="auto"/>
        <w:rPr>
          <w:rFonts w:hint="eastAsia" w:ascii="微软雅黑" w:hAnsi="微软雅黑" w:eastAsia="微软雅黑" w:cs="仿宋_GB2312"/>
          <w:b/>
          <w:bCs/>
          <w:color w:val="auto"/>
          <w:kern w:val="44"/>
          <w:sz w:val="48"/>
          <w:szCs w:val="48"/>
        </w:rPr>
      </w:pPr>
      <w:r>
        <w:rPr>
          <w:rFonts w:hint="eastAsia" w:ascii="微软雅黑" w:hAnsi="微软雅黑" w:eastAsia="微软雅黑" w:cs="仿宋_GB2312"/>
          <w:b/>
          <w:bCs/>
          <w:color w:val="auto"/>
          <w:kern w:val="44"/>
          <w:sz w:val="48"/>
          <w:szCs w:val="48"/>
        </w:rPr>
        <w:t>政协湘西自治州委员会办公室</w:t>
      </w:r>
    </w:p>
    <w:p>
      <w:pPr>
        <w:keepNext w:val="0"/>
        <w:keepLines w:val="0"/>
        <w:pageBreakBefore w:val="0"/>
        <w:widowControl/>
        <w:shd w:val="clear" w:color="auto" w:fill="FFFFFF"/>
        <w:kinsoku/>
        <w:wordWrap/>
        <w:overflowPunct/>
        <w:topLinePunct w:val="0"/>
        <w:autoSpaceDE/>
        <w:autoSpaceDN/>
        <w:bidi w:val="0"/>
        <w:adjustRightInd/>
        <w:snapToGrid/>
        <w:spacing w:after="80"/>
        <w:jc w:val="center"/>
        <w:textAlignment w:val="auto"/>
        <w:rPr>
          <w:rFonts w:hint="eastAsia" w:ascii="微软雅黑" w:hAnsi="微软雅黑" w:eastAsia="微软雅黑" w:cs="仿宋_GB2312"/>
          <w:b/>
          <w:bCs/>
          <w:color w:val="auto"/>
          <w:kern w:val="44"/>
          <w:sz w:val="48"/>
          <w:szCs w:val="48"/>
        </w:rPr>
      </w:pPr>
      <w:r>
        <w:rPr>
          <w:rFonts w:hint="eastAsia" w:ascii="微软雅黑" w:hAnsi="微软雅黑" w:eastAsia="微软雅黑" w:cs="仿宋_GB2312"/>
          <w:b/>
          <w:bCs/>
          <w:color w:val="auto"/>
          <w:kern w:val="44"/>
          <w:sz w:val="48"/>
          <w:szCs w:val="48"/>
        </w:rPr>
        <w:t xml:space="preserve"> 202</w:t>
      </w:r>
      <w:r>
        <w:rPr>
          <w:rFonts w:hint="eastAsia" w:ascii="微软雅黑" w:hAnsi="微软雅黑" w:eastAsia="微软雅黑" w:cs="仿宋_GB2312"/>
          <w:b/>
          <w:bCs/>
          <w:color w:val="auto"/>
          <w:kern w:val="44"/>
          <w:sz w:val="48"/>
          <w:szCs w:val="48"/>
          <w:lang w:val="en-US" w:eastAsia="zh-CN"/>
        </w:rPr>
        <w:t>1</w:t>
      </w:r>
      <w:r>
        <w:rPr>
          <w:rFonts w:hint="eastAsia" w:ascii="微软雅黑" w:hAnsi="微软雅黑" w:eastAsia="微软雅黑" w:cs="仿宋_GB2312"/>
          <w:b/>
          <w:bCs/>
          <w:color w:val="auto"/>
          <w:kern w:val="44"/>
          <w:sz w:val="48"/>
          <w:szCs w:val="48"/>
        </w:rPr>
        <w:t>年度部门整体支出绩效自评报告</w: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600" w:lineRule="exact"/>
        <w:jc w:val="both"/>
        <w:rPr>
          <w:rFonts w:hint="eastAsia" w:ascii="仿宋_GB2312" w:eastAsia="仿宋_GB2312"/>
          <w:color w:val="auto"/>
          <w:sz w:val="32"/>
          <w:szCs w:val="32"/>
        </w:rPr>
      </w:pPr>
    </w:p>
    <w:p>
      <w:pPr>
        <w:spacing w:line="700" w:lineRule="exact"/>
        <w:ind w:left="0" w:leftChars="0" w:firstLine="1063" w:firstLineChars="353"/>
        <w:rPr>
          <w:rFonts w:hint="eastAsia" w:ascii="黑体" w:hAnsi="黑体" w:eastAsia="黑体" w:cs="黑体"/>
          <w:b/>
          <w:bCs/>
          <w:color w:val="auto"/>
          <w:sz w:val="30"/>
          <w:szCs w:val="30"/>
        </w:rPr>
      </w:pPr>
      <w:r>
        <w:rPr>
          <w:rFonts w:hint="eastAsia" w:ascii="黑体" w:hAnsi="黑体" w:eastAsia="黑体" w:cs="黑体"/>
          <w:b/>
          <w:bCs/>
          <w:color w:val="auto"/>
          <w:sz w:val="30"/>
          <w:szCs w:val="30"/>
        </w:rPr>
        <w:t>单位名称（盖章）： 政协湘西自治州委员会办公室</w:t>
      </w:r>
    </w:p>
    <w:p>
      <w:pPr>
        <w:spacing w:line="700" w:lineRule="exact"/>
        <w:ind w:left="0" w:leftChars="0" w:firstLine="1063" w:firstLineChars="353"/>
        <w:rPr>
          <w:rFonts w:hint="eastAsia" w:ascii="黑体" w:hAnsi="黑体" w:eastAsia="黑体" w:cs="黑体"/>
          <w:b/>
          <w:bCs/>
          <w:color w:val="auto"/>
          <w:sz w:val="30"/>
          <w:szCs w:val="30"/>
          <w:lang w:val="en-US"/>
        </w:rPr>
      </w:pPr>
      <w:r>
        <w:rPr>
          <w:rFonts w:hint="eastAsia" w:ascii="黑体" w:hAnsi="黑体" w:eastAsia="黑体" w:cs="黑体"/>
          <w:b/>
          <w:bCs/>
          <w:color w:val="auto"/>
          <w:sz w:val="30"/>
          <w:szCs w:val="30"/>
        </w:rPr>
        <w:t xml:space="preserve">预算编码： </w:t>
      </w:r>
      <w:r>
        <w:rPr>
          <w:rFonts w:hint="eastAsia" w:ascii="黑体" w:hAnsi="黑体" w:eastAsia="黑体" w:cs="黑体"/>
          <w:b/>
          <w:bCs/>
          <w:color w:val="auto"/>
          <w:sz w:val="30"/>
          <w:szCs w:val="30"/>
          <w:lang w:val="en-US"/>
        </w:rPr>
        <w:t>102001</w:t>
      </w:r>
    </w:p>
    <w:p>
      <w:pPr>
        <w:spacing w:line="700" w:lineRule="exact"/>
        <w:ind w:left="0" w:leftChars="0" w:firstLine="1063" w:firstLineChars="353"/>
        <w:jc w:val="left"/>
        <w:rPr>
          <w:rFonts w:hint="eastAsia" w:ascii="黑体" w:hAnsi="黑体" w:eastAsia="黑体" w:cs="黑体"/>
          <w:b/>
          <w:bCs/>
          <w:color w:val="auto"/>
          <w:sz w:val="30"/>
          <w:szCs w:val="30"/>
        </w:rPr>
      </w:pPr>
      <w:r>
        <w:rPr>
          <w:rFonts w:hint="eastAsia" w:ascii="黑体" w:hAnsi="黑体" w:eastAsia="黑体" w:cs="黑体"/>
          <w:b/>
          <w:bCs/>
          <w:color w:val="auto"/>
          <w:sz w:val="30"/>
          <w:szCs w:val="30"/>
        </w:rPr>
        <w:t>评价方式：单位绩效自评</w:t>
      </w:r>
    </w:p>
    <w:p>
      <w:pPr>
        <w:spacing w:line="700" w:lineRule="exact"/>
        <w:ind w:left="0" w:leftChars="0" w:firstLine="1063" w:firstLineChars="353"/>
        <w:jc w:val="left"/>
        <w:rPr>
          <w:rFonts w:hint="eastAsia" w:ascii="黑体" w:hAnsi="黑体" w:eastAsia="黑体" w:cs="黑体"/>
          <w:b/>
          <w:bCs/>
          <w:color w:val="auto"/>
          <w:sz w:val="30"/>
          <w:szCs w:val="30"/>
        </w:rPr>
      </w:pPr>
      <w:r>
        <w:rPr>
          <w:rFonts w:hint="eastAsia" w:ascii="黑体" w:hAnsi="黑体" w:eastAsia="黑体" w:cs="黑体"/>
          <w:b/>
          <w:bCs/>
          <w:color w:val="auto"/>
          <w:sz w:val="30"/>
          <w:szCs w:val="30"/>
        </w:rPr>
        <w:t>评价机构：单位评价组</w:t>
      </w:r>
    </w:p>
    <w:p>
      <w:pPr>
        <w:jc w:val="both"/>
        <w:rPr>
          <w:rFonts w:hint="eastAsia" w:ascii="仿宋_GB2312" w:eastAsia="仿宋_GB2312" w:cs="Arial"/>
          <w:color w:val="auto"/>
          <w:sz w:val="32"/>
          <w:szCs w:val="32"/>
        </w:rPr>
      </w:pPr>
    </w:p>
    <w:p>
      <w:pPr>
        <w:jc w:val="both"/>
        <w:rPr>
          <w:rFonts w:hint="eastAsia" w:ascii="仿宋_GB2312" w:eastAsia="仿宋_GB2312" w:cs="Arial"/>
          <w:color w:val="auto"/>
          <w:sz w:val="32"/>
          <w:szCs w:val="32"/>
        </w:rPr>
      </w:pPr>
    </w:p>
    <w:p>
      <w:pPr>
        <w:jc w:val="center"/>
        <w:rPr>
          <w:rFonts w:hint="eastAsia" w:ascii="仿宋_GB2312" w:eastAsia="仿宋_GB2312" w:cs="Arial"/>
          <w:color w:val="auto"/>
          <w:sz w:val="32"/>
          <w:szCs w:val="32"/>
        </w:rPr>
      </w:pPr>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报告时间：</w:t>
      </w:r>
      <w:r>
        <w:rPr>
          <w:rFonts w:hint="eastAsia" w:ascii="仿宋_GB2312" w:hAnsi="仿宋_GB2312" w:eastAsia="仿宋_GB2312" w:cs="仿宋_GB2312"/>
          <w:b/>
          <w:bCs/>
          <w:color w:val="auto"/>
          <w:sz w:val="32"/>
          <w:szCs w:val="32"/>
          <w:u w:val="none"/>
        </w:rPr>
        <w:t>202</w:t>
      </w:r>
      <w:r>
        <w:rPr>
          <w:rFonts w:hint="eastAsia" w:ascii="仿宋_GB2312" w:hAnsi="仿宋_GB2312" w:eastAsia="仿宋_GB2312" w:cs="仿宋_GB2312"/>
          <w:b/>
          <w:bCs/>
          <w:color w:val="auto"/>
          <w:sz w:val="32"/>
          <w:szCs w:val="32"/>
          <w:u w:val="none"/>
          <w:lang w:val="en-US" w:eastAsia="zh-CN"/>
        </w:rPr>
        <w:t>2</w:t>
      </w:r>
      <w:r>
        <w:rPr>
          <w:rFonts w:hint="eastAsia" w:ascii="仿宋_GB2312" w:hAnsi="仿宋_GB2312" w:eastAsia="仿宋_GB2312" w:cs="仿宋_GB2312"/>
          <w:b/>
          <w:bCs/>
          <w:color w:val="auto"/>
          <w:sz w:val="32"/>
          <w:szCs w:val="32"/>
          <w:u w:val="none"/>
        </w:rPr>
        <w:t xml:space="preserve"> 年 </w:t>
      </w:r>
      <w:r>
        <w:rPr>
          <w:rFonts w:hint="eastAsia" w:ascii="仿宋_GB2312" w:hAnsi="仿宋_GB2312" w:eastAsia="仿宋_GB2312" w:cs="仿宋_GB2312"/>
          <w:b/>
          <w:bCs/>
          <w:color w:val="auto"/>
          <w:sz w:val="32"/>
          <w:szCs w:val="32"/>
          <w:u w:val="none"/>
          <w:lang w:val="en-US" w:eastAsia="zh-CN"/>
        </w:rPr>
        <w:t>6</w:t>
      </w:r>
      <w:r>
        <w:rPr>
          <w:rFonts w:hint="eastAsia" w:ascii="仿宋_GB2312" w:hAnsi="仿宋_GB2312" w:eastAsia="仿宋_GB2312" w:cs="仿宋_GB2312"/>
          <w:b/>
          <w:bCs/>
          <w:color w:val="auto"/>
          <w:sz w:val="32"/>
          <w:szCs w:val="32"/>
          <w:u w:val="none"/>
        </w:rPr>
        <w:t xml:space="preserve"> 月</w:t>
      </w:r>
    </w:p>
    <w:p>
      <w:pPr>
        <w:spacing w:line="540" w:lineRule="exact"/>
        <w:rPr>
          <w:rFonts w:ascii="仿宋" w:hAnsi="仿宋" w:eastAsia="仿宋" w:cs="Arial"/>
          <w:color w:val="auto"/>
          <w:sz w:val="32"/>
          <w:szCs w:val="32"/>
          <w:shd w:val="clear" w:color="auto" w:fill="FFFFFF"/>
        </w:rPr>
      </w:pPr>
    </w:p>
    <w:p>
      <w:pPr>
        <w:spacing w:line="540" w:lineRule="exact"/>
        <w:rPr>
          <w:rFonts w:ascii="仿宋" w:hAnsi="仿宋" w:eastAsia="仿宋" w:cs="Arial"/>
          <w:color w:val="auto"/>
          <w:sz w:val="32"/>
          <w:szCs w:val="32"/>
          <w:shd w:val="clear" w:color="auto" w:fill="FFFFFF"/>
        </w:rPr>
      </w:pPr>
    </w:p>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bCs/>
          <w:color w:val="auto"/>
          <w:sz w:val="24"/>
          <w:szCs w:val="24"/>
        </w:rPr>
        <w:sectPr>
          <w:pgSz w:w="11906" w:h="16838"/>
          <w:pgMar w:top="1440" w:right="1069" w:bottom="1702" w:left="1797" w:header="709" w:footer="709" w:gutter="0"/>
          <w:pgNumType w:start="1"/>
          <w:cols w:space="0" w:num="1"/>
          <w:docGrid w:type="lines" w:linePitch="367" w:charSpace="0"/>
        </w:sectPr>
      </w:pPr>
    </w:p>
    <w:tbl>
      <w:tblPr>
        <w:tblStyle w:val="24"/>
        <w:tblW w:w="9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1216"/>
        <w:gridCol w:w="302"/>
        <w:gridCol w:w="45"/>
        <w:gridCol w:w="1005"/>
        <w:gridCol w:w="269"/>
        <w:gridCol w:w="1132"/>
        <w:gridCol w:w="1314"/>
        <w:gridCol w:w="1686"/>
        <w:gridCol w:w="998"/>
        <w:gridCol w:w="82"/>
        <w:gridCol w:w="276"/>
        <w:gridCol w:w="174"/>
        <w:gridCol w:w="442"/>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9841" w:type="dxa"/>
            <w:gridSpan w:val="14"/>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r>
              <w:rPr>
                <w:rFonts w:hint="eastAsia" w:ascii="宋体" w:hAnsi="宋体" w:eastAsia="宋体" w:cs="宋体"/>
                <w:b/>
                <w:bCs/>
                <w:color w:val="auto"/>
                <w:sz w:val="24"/>
                <w:szCs w:val="24"/>
              </w:rPr>
              <w:t>一、部门（单位）基本概况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联系人</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何湘永</w:t>
            </w:r>
          </w:p>
        </w:tc>
        <w:tc>
          <w:tcPr>
            <w:tcW w:w="1686"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联系电话</w:t>
            </w:r>
          </w:p>
        </w:tc>
        <w:tc>
          <w:tcPr>
            <w:tcW w:w="2872" w:type="dxa"/>
            <w:gridSpan w:val="6"/>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0743-8711350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人员编制</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4"/>
                <w:szCs w:val="24"/>
                <w:lang w:val="en-US" w:eastAsia="zh-CN"/>
              </w:rPr>
              <w:t>61</w:t>
            </w:r>
          </w:p>
        </w:tc>
        <w:tc>
          <w:tcPr>
            <w:tcW w:w="1686"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实有人数</w:t>
            </w:r>
          </w:p>
        </w:tc>
        <w:tc>
          <w:tcPr>
            <w:tcW w:w="2872" w:type="dxa"/>
            <w:gridSpan w:val="6"/>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61</w:t>
            </w:r>
            <w:bookmarkStart w:id="9" w:name="_GoBack"/>
            <w:bookmarkEnd w:id="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724" w:hRule="atLeast"/>
          <w:jc w:val="center"/>
        </w:trPr>
        <w:tc>
          <w:tcPr>
            <w:tcW w:w="1518" w:type="dxa"/>
            <w:gridSpan w:val="2"/>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职能职责概述</w:t>
            </w:r>
          </w:p>
        </w:tc>
        <w:tc>
          <w:tcPr>
            <w:tcW w:w="8323" w:type="dxa"/>
            <w:gridSpan w:val="12"/>
            <w:vAlign w:val="center"/>
          </w:tcPr>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成立于1952年，单位性质为行政单位，单位住所为吉首市团结西路8号，统一社会信用代码为114331000066865XN。政协湘西自治州委员会办公室为正厅级全额拨款（行政）单位。内设办公室（含秘书科、行政科、财务科、人事科、老干办</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个科室）、</w:t>
            </w:r>
            <w:r>
              <w:rPr>
                <w:rFonts w:hint="eastAsia" w:ascii="宋体" w:hAnsi="宋体" w:eastAsia="宋体" w:cs="宋体"/>
                <w:color w:val="auto"/>
                <w:sz w:val="24"/>
                <w:szCs w:val="24"/>
                <w:lang w:eastAsia="zh-CN"/>
              </w:rPr>
              <w:t>委员学习联络委员会、</w:t>
            </w:r>
            <w:r>
              <w:rPr>
                <w:rFonts w:hint="eastAsia" w:ascii="宋体" w:hAnsi="宋体" w:eastAsia="宋体" w:cs="宋体"/>
                <w:color w:val="auto"/>
                <w:sz w:val="24"/>
                <w:szCs w:val="24"/>
              </w:rPr>
              <w:t>提案委员会、经济科技联谊委员会、人口资源环境委员会、文教卫体</w:t>
            </w:r>
            <w:r>
              <w:rPr>
                <w:rFonts w:hint="eastAsia" w:ascii="宋体" w:hAnsi="宋体" w:eastAsia="宋体" w:cs="宋体"/>
                <w:color w:val="auto"/>
                <w:sz w:val="24"/>
                <w:szCs w:val="24"/>
                <w:lang w:eastAsia="zh-CN"/>
              </w:rPr>
              <w:t>和文史</w:t>
            </w:r>
            <w:r>
              <w:rPr>
                <w:rFonts w:hint="eastAsia" w:ascii="宋体" w:hAnsi="宋体" w:eastAsia="宋体" w:cs="宋体"/>
                <w:color w:val="auto"/>
                <w:sz w:val="24"/>
                <w:szCs w:val="24"/>
              </w:rPr>
              <w:t>委员会、民族宗教法制群团委员会、</w:t>
            </w:r>
            <w:r>
              <w:rPr>
                <w:rFonts w:hint="eastAsia" w:ascii="宋体" w:hAnsi="宋体" w:eastAsia="宋体" w:cs="宋体"/>
                <w:color w:val="auto"/>
                <w:sz w:val="24"/>
                <w:szCs w:val="24"/>
                <w:lang w:eastAsia="zh-CN"/>
              </w:rPr>
              <w:t>农业和农村委员会</w:t>
            </w:r>
            <w:r>
              <w:rPr>
                <w:rFonts w:hint="eastAsia" w:ascii="宋体" w:hAnsi="宋体" w:eastAsia="宋体" w:cs="宋体"/>
                <w:color w:val="auto"/>
                <w:sz w:val="24"/>
                <w:szCs w:val="24"/>
              </w:rPr>
              <w:t>、研究室、文史资料编辑部共九个职能部门。本单位的主要职责是：政治协商、民主监督、参政议政。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99" w:hRule="atLeast"/>
          <w:jc w:val="center"/>
        </w:trPr>
        <w:tc>
          <w:tcPr>
            <w:tcW w:w="1518" w:type="dxa"/>
            <w:gridSpan w:val="2"/>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年度主要</w:t>
            </w:r>
          </w:p>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工作内容</w:t>
            </w:r>
          </w:p>
        </w:tc>
        <w:tc>
          <w:tcPr>
            <w:tcW w:w="8323" w:type="dxa"/>
            <w:gridSpan w:val="12"/>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任务1：围绕中心大局，狠抓重点任务落实</w:t>
            </w:r>
            <w:r>
              <w:rPr>
                <w:rFonts w:hint="eastAsia" w:ascii="宋体" w:hAnsi="宋体" w:eastAsia="宋体" w:cs="宋体"/>
                <w:b/>
                <w:bCs/>
                <w:color w:val="auto"/>
                <w:sz w:val="24"/>
                <w:szCs w:val="24"/>
                <w:lang w:eastAsia="zh-CN"/>
              </w:rPr>
              <w:t>。</w:t>
            </w:r>
            <w:r>
              <w:rPr>
                <w:rFonts w:hint="eastAsia" w:ascii="宋体" w:hAnsi="宋体" w:eastAsia="宋体" w:cs="宋体"/>
                <w:color w:val="auto"/>
                <w:sz w:val="24"/>
                <w:szCs w:val="24"/>
                <w:highlight w:val="none"/>
              </w:rPr>
              <w:t>认真落实习近平总书记考察湖南时作出的“政协委员要更好联系和服务所在界别的群众”重要指示，探索推广“以委员工作室建设与运行”为主题的实践基地建设，为委员履职搭建平台，推动协商向基层延伸，扩大委员服务界别群众覆盖面。</w:t>
            </w:r>
          </w:p>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任务2：积极参谋服务，推动政协工作创新发展。</w:t>
            </w:r>
            <w:r>
              <w:rPr>
                <w:rFonts w:hint="eastAsia" w:ascii="宋体" w:hAnsi="宋体" w:eastAsia="宋体" w:cs="宋体"/>
                <w:color w:val="auto"/>
                <w:sz w:val="24"/>
                <w:szCs w:val="24"/>
              </w:rPr>
              <w:t>畅通社情民意、微建议、情况反映等委员意见建议反映渠道，认真筛选社情民意上报省政协；</w:t>
            </w:r>
            <w:r>
              <w:rPr>
                <w:rFonts w:hint="eastAsia" w:ascii="宋体" w:hAnsi="宋体" w:eastAsia="宋体" w:cs="宋体"/>
                <w:color w:val="auto"/>
                <w:sz w:val="24"/>
                <w:szCs w:val="24"/>
                <w:lang w:val="en-US" w:eastAsia="zh-CN"/>
              </w:rPr>
              <w:t>及时</w:t>
            </w:r>
            <w:r>
              <w:rPr>
                <w:rFonts w:hint="eastAsia" w:ascii="宋体" w:hAnsi="宋体" w:eastAsia="宋体" w:cs="宋体"/>
                <w:color w:val="auto"/>
                <w:sz w:val="24"/>
                <w:szCs w:val="24"/>
              </w:rPr>
              <w:t>办结微建议</w:t>
            </w:r>
            <w:r>
              <w:rPr>
                <w:rFonts w:hint="eastAsia" w:ascii="宋体" w:hAnsi="宋体" w:eastAsia="宋体" w:cs="宋体"/>
                <w:color w:val="auto"/>
                <w:sz w:val="24"/>
                <w:szCs w:val="24"/>
                <w:lang w:eastAsia="zh-CN"/>
              </w:rPr>
              <w:t>，编发《情况反映》126期。</w:t>
            </w:r>
          </w:p>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r>
              <w:rPr>
                <w:rFonts w:hint="eastAsia" w:ascii="宋体" w:hAnsi="宋体" w:eastAsia="宋体" w:cs="宋体"/>
                <w:b/>
                <w:bCs/>
                <w:color w:val="auto"/>
                <w:sz w:val="24"/>
                <w:szCs w:val="24"/>
              </w:rPr>
              <w:t>任务3：服务调研视察，提高建言献策质量。</w:t>
            </w:r>
            <w:r>
              <w:rPr>
                <w:rFonts w:hint="eastAsia" w:ascii="宋体" w:hAnsi="宋体" w:eastAsia="宋体" w:cs="宋体"/>
                <w:color w:val="auto"/>
                <w:sz w:val="24"/>
                <w:szCs w:val="24"/>
              </w:rPr>
              <w:t>一是积极服务“酉水流域旅游产业高质量发展”课题调研。二是积极服务州政协常委会《弘扬红色文化，推进红色湘西建设》议政协商会议。</w:t>
            </w:r>
          </w:p>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任务4：全力助推脱贫攻坚与乡村振兴有效衔接。</w:t>
            </w:r>
            <w:r>
              <w:rPr>
                <w:rFonts w:hint="eastAsia" w:ascii="宋体" w:hAnsi="宋体" w:eastAsia="宋体" w:cs="宋体"/>
                <w:color w:val="auto"/>
                <w:sz w:val="24"/>
                <w:szCs w:val="24"/>
              </w:rPr>
              <w:t>充分发挥州工商联界别委员作用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积极投身乡村振兴</w:t>
            </w:r>
            <w:r>
              <w:rPr>
                <w:rFonts w:hint="eastAsia" w:ascii="宋体" w:hAnsi="宋体" w:eastAsia="宋体" w:cs="宋体"/>
                <w:color w:val="auto"/>
                <w:sz w:val="24"/>
                <w:szCs w:val="24"/>
                <w:lang w:eastAsia="zh-CN"/>
              </w:rPr>
              <w:t>，进一步巩固拓展了脱贫攻坚成果，</w:t>
            </w:r>
          </w:p>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任务5：认真落实州委“三联”工作制度</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三级联动履职构建新格局。</w:t>
            </w:r>
            <w:r>
              <w:rPr>
                <w:rFonts w:hint="eastAsia" w:ascii="宋体" w:hAnsi="宋体" w:eastAsia="宋体" w:cs="宋体"/>
                <w:color w:val="auto"/>
                <w:sz w:val="24"/>
                <w:szCs w:val="24"/>
              </w:rPr>
              <w:t>在省政协组织下，探索省州县（市）三级政协联动扶贫机制</w:t>
            </w:r>
            <w:r>
              <w:rPr>
                <w:rFonts w:hint="eastAsia" w:ascii="宋体" w:hAnsi="宋体" w:eastAsia="宋体" w:cs="宋体"/>
                <w:color w:val="auto"/>
                <w:sz w:val="24"/>
                <w:szCs w:val="24"/>
                <w:lang w:eastAsia="zh-CN"/>
              </w:rPr>
              <w:t>，进一步巩固了脱贫攻坚成果；积极探索省州县（市）三级联动调研机制，形成高质量建言成果，为省委、省政府、州委、州政府决策提供科学参考。</w:t>
            </w:r>
          </w:p>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任务</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：以新样子强化责任担当，务求推进自身建设有新提升。</w:t>
            </w:r>
            <w:r>
              <w:rPr>
                <w:rFonts w:hint="eastAsia" w:ascii="宋体" w:hAnsi="宋体" w:eastAsia="宋体" w:cs="宋体"/>
                <w:b w:val="0"/>
                <w:bCs w:val="0"/>
                <w:color w:val="auto"/>
                <w:sz w:val="24"/>
                <w:szCs w:val="24"/>
              </w:rPr>
              <w:t>强化委员履职服务，加强对委员的纪律要求，推动委员更好为国履职，为民尽责。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518" w:type="dxa"/>
            <w:gridSpan w:val="2"/>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年度部门（单位）总体运行情况及取得的成绩</w:t>
            </w:r>
          </w:p>
        </w:tc>
        <w:tc>
          <w:tcPr>
            <w:tcW w:w="8323" w:type="dxa"/>
            <w:gridSpan w:val="12"/>
            <w:vAlign w:val="center"/>
          </w:tcPr>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州政协在省政协有力指导和中共湘西州委坚强领导下，在州人大、州政府、吉首军分区大力支持下，坚持以习近平新时代中国特色社会主义思想为指导，牢牢把握团结和民主两大主题，紧紧围绕州委中心工作，聚焦脱贫攻坚、全面建成小康社会，坚持建言资政和凝聚共识双向发力，以创建实践基地、委员工作室为抓手，切实履行政治协商、民主监督、参政议政职能，为湘西州摆脱千年贫困，全面步入小康社会贡献了政协力量。</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围绕中心大局，狠抓重点任务落实。扎实做好机关党组（党委）工作，进一步规范支部党建工作，圆满完成机关三个党支部的换届选举，民主生活会、三会一课、党费收缴、主题党日等工作有序开展；全力抓好党史学习教育</w:t>
            </w:r>
            <w:r>
              <w:rPr>
                <w:rFonts w:hint="default" w:ascii="宋体" w:hAnsi="宋体" w:eastAsia="宋体" w:cs="宋体"/>
                <w:color w:val="auto"/>
                <w:sz w:val="24"/>
                <w:szCs w:val="24"/>
                <w:lang w:val="en-US" w:eastAsia="zh-CN"/>
              </w:rPr>
              <w:t>;圆满完成驻蒲家河村的脱贫攻坚任务，进一步巩固拓展了脱贫攻坚成果</w:t>
            </w:r>
            <w:r>
              <w:rPr>
                <w:rFonts w:hint="eastAsia" w:ascii="宋体" w:hAnsi="宋体" w:eastAsia="宋体" w:cs="宋体"/>
                <w:color w:val="auto"/>
                <w:sz w:val="24"/>
                <w:szCs w:val="24"/>
                <w:lang w:val="en-US" w:eastAsia="zh-CN"/>
              </w:rPr>
              <w:t>。按照乡村振兴工作安排，落实了专抓班子，及时选派工作队进驻吉首市己略乡夯坨村乡村振兴点。不断巩固省级文明单位创建成果，积极开展一系列文明创建和民族团结进步活动，举办了中华传统（民族）文化进机关、青年志愿者服务。进一步推进网络平台建设，完善了州政协门户网、“政协云”、“湘西政协”微信公众号平台相关管理制度，积极做好网络舆情监控处置，规范网上信息传播秩序。积极用好新媒体平台，加强对州政协各位领导、各委室工作信息的收集和更新，更好的展示政协作为。在国家、省、州各级媒体上稿120余篇，在政协云、州政协微信公众号、网站共发布稿件650多篇，让政协声音传得更开、更广、更深。督促州、县政协各委室、各委员组报送工作动态，开展微协商，实施微监督，今年来，共收到微建议8条，办复率100%，其中《关于在杭瑞高速新增服务区的建议》和《关于加强边远地区移动信号覆盖的建议》被省级媒体推荐。</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立足高效运转，全力做好参谋服务。承接外地政协来州考察学习活动45次，配合省政协完成了“加快酉水流域旅游业发展，促进大湘西乡村振兴”等课题调研；服务机关调研视察35次，牵头完成了“州域社会治理现代化诉源治理”专题调研视察，协助完成了“红色文化资源”、“加快酉水流域旅游业发展，促进我州全域旅游提质增效”、“乡村振兴”等调研视察，牵头做好了协调服务、宣传报道等工作。</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畅通社情民意、微建议、情况反映等委员意见建议反映渠道，认真筛选社情民意72篇上报省政协，其中《关于加强少年军校创新管理的建议》、《关于我省野生动物养殖业退出和转产建议》等被省政协采用。办结微建议84条，《多块牌子“禁令”矛盾且无人巡管》被省政协作为典型案例剖析。编发《情况反映》126期，州委、州政府主要领导签批118期，促成营商环境改善等90余项事项落地。委员反映《关于党员干部带头“湘西人游湘西”的建议》，州委、州政府及时出台了相关激励政策，推动文化旅游产业疫后市场复苏。</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全力助推脱贫攻坚与乡村振兴有效衔接。圆满完成驻蒲家河村的脱贫攻坚任务，进一步巩固拓展了脱贫攻坚成果；按照乡村振兴工作安排，落实了专抓班子，及时选派工作队进驻吉首市己略乡夯坨村乡村振兴点，并在经费、物资等方面给予全力保障，先后15次为主席会议成员深入扶贫村调研指导工作搞好了服务，结合“我为群众办实事”实践活动，组织机关干部入村结对帮扶走访慰问，协助工作队开展贫困户信息核实、宣传教育等工作，收集群众意见建议，解决群众实际问题，助力各项惠民政策落地落实，进一步夯实了工作基础</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认真落实州委“三联”工作制度，三级联动履职构建新格局。一是建立重点提案协商办理制度。由州委常委、州政府副州长牵头，州政协主席会议成员参与，相关部门承办。二是建立州委、州政府主要领导批示提案办理制。采取《重要提案摘报》方式直报书记、州长阅批交办。三是建立提案办理民主评议制。每年确定4至5个承办单位开展提案办理民主评议，对办理结果进行面对面评议测评，增强提案办理监督实效，一批事关经济社会发展和群众利益的问题得到有效解决。十二届州政协共收到提案1265件，审查立案1016件，提案办复率达100%，提案意见建议转化率达74.5%。</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开展红色文化重点课题调研，提高建言献策整体效能。积极服务和参与赴鄂豫渝红三军转战七千里小长征沿线对比考察红色文化，撰写考察报告，对我州红色文化保护传承提出意见建议，呈报州委常委会议审议，常委们对州政协积极服务红色湘西建设，给予高度肯定。将州政协调研报告、县市议政协商发言4篇、州直情况汇报4篇整理成《弘扬红色文化，推进红色湘西建设”专题议政协商资料汇编》，撰写了“弘扬红色文化 推进红色湘西建设”议政协商意见书</w:t>
            </w:r>
          </w:p>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7、突出自身建设，履职能力和水平不断提升。（1）高标准抓好队伍建设。</w:t>
            </w:r>
            <w:r>
              <w:rPr>
                <w:rFonts w:hint="eastAsia" w:ascii="宋体" w:hAnsi="宋体" w:eastAsia="宋体" w:cs="宋体"/>
                <w:color w:val="auto"/>
                <w:sz w:val="24"/>
                <w:szCs w:val="24"/>
              </w:rPr>
              <w:t>（2）高效率抓好业务工作。（3）以建设模范机关为目标，加强办公室、研究室和7个专委会建设，健全管理培养制度，提高服务政协履职水平。</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组织文稿撰写，切实提高理论研究水平。组织起草、修改向省政协领导、州委常委会等汇报材料11篇，撰写换届考察州政协第十二届委员会工作总结等总结材料10余篇，撰写调研报告2篇，协助领导完成讲话稿20余篇，协助领导起草探讨性理论性文稿5篇，分别被湘声报、团结报、湘西工作、红网等平台刊发。协助领导整理和草拟了《湘鄂渝黔四省市政协助推武陵山片区乡村振兴合作联席会议情况汇报》和相关资料，呈送州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9841" w:type="dxa"/>
            <w:gridSpan w:val="14"/>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rPr>
              <w:t>二、部门（单位）收支情况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9841" w:type="dxa"/>
            <w:gridSpan w:val="14"/>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年度收入情况（万元）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563" w:type="dxa"/>
            <w:gridSpan w:val="3"/>
            <w:vMerge w:val="restart"/>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机构名称</w:t>
            </w:r>
          </w:p>
        </w:tc>
        <w:tc>
          <w:tcPr>
            <w:tcW w:w="1274" w:type="dxa"/>
            <w:gridSpan w:val="2"/>
            <w:vMerge w:val="restart"/>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收入合计</w:t>
            </w:r>
          </w:p>
        </w:tc>
        <w:tc>
          <w:tcPr>
            <w:tcW w:w="7004" w:type="dxa"/>
            <w:gridSpan w:val="9"/>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37" w:hRule="atLeast"/>
          <w:jc w:val="center"/>
        </w:trPr>
        <w:tc>
          <w:tcPr>
            <w:tcW w:w="1563" w:type="dxa"/>
            <w:gridSpan w:val="3"/>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274" w:type="dxa"/>
            <w:gridSpan w:val="2"/>
            <w:vMerge w:val="continue"/>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132" w:type="dxa"/>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上年结转</w:t>
            </w:r>
          </w:p>
        </w:tc>
        <w:tc>
          <w:tcPr>
            <w:tcW w:w="1314"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公共财</w:t>
            </w:r>
          </w:p>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政拨款</w:t>
            </w:r>
          </w:p>
        </w:tc>
        <w:tc>
          <w:tcPr>
            <w:tcW w:w="1686"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政府基金拨款</w:t>
            </w:r>
          </w:p>
        </w:tc>
        <w:tc>
          <w:tcPr>
            <w:tcW w:w="1356" w:type="dxa"/>
            <w:gridSpan w:val="3"/>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纳入专户管理的非税收入拨款</w:t>
            </w:r>
          </w:p>
        </w:tc>
        <w:tc>
          <w:tcPr>
            <w:tcW w:w="1516" w:type="dxa"/>
            <w:gridSpan w:val="3"/>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其他</w:t>
            </w:r>
          </w:p>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2" w:hRule="atLeast"/>
          <w:jc w:val="center"/>
        </w:trPr>
        <w:tc>
          <w:tcPr>
            <w:tcW w:w="1563" w:type="dxa"/>
            <w:gridSpan w:val="3"/>
            <w:vAlign w:val="center"/>
          </w:tcPr>
          <w:p>
            <w:pPr>
              <w:pStyle w:val="41"/>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局机关及二级机构汇总</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2500.53</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2.97</w:t>
            </w:r>
          </w:p>
        </w:tc>
        <w:tc>
          <w:tcPr>
            <w:tcW w:w="1314"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2474.50</w:t>
            </w:r>
          </w:p>
        </w:tc>
        <w:tc>
          <w:tcPr>
            <w:tcW w:w="1686"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356" w:type="dxa"/>
            <w:gridSpan w:val="3"/>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516" w:type="dxa"/>
            <w:gridSpan w:val="3"/>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75" w:hRule="atLeast"/>
          <w:jc w:val="center"/>
        </w:trPr>
        <w:tc>
          <w:tcPr>
            <w:tcW w:w="1563" w:type="dxa"/>
            <w:gridSpan w:val="3"/>
            <w:vAlign w:val="center"/>
          </w:tcPr>
          <w:p>
            <w:pPr>
              <w:pStyle w:val="41"/>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1、本级机构</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2500.53</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2.97</w:t>
            </w:r>
          </w:p>
        </w:tc>
        <w:tc>
          <w:tcPr>
            <w:tcW w:w="1314" w:type="dxa"/>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2474.50</w:t>
            </w:r>
          </w:p>
        </w:tc>
        <w:tc>
          <w:tcPr>
            <w:tcW w:w="1686" w:type="dxa"/>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356" w:type="dxa"/>
            <w:gridSpan w:val="3"/>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516" w:type="dxa"/>
            <w:gridSpan w:val="3"/>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9841" w:type="dxa"/>
            <w:gridSpan w:val="14"/>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部门（单位）年度支出和结余情况（万元）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Merge w:val="restart"/>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机构名称</w:t>
            </w:r>
          </w:p>
        </w:tc>
        <w:tc>
          <w:tcPr>
            <w:tcW w:w="1274" w:type="dxa"/>
            <w:gridSpan w:val="2"/>
            <w:vMerge w:val="restart"/>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支出合计</w:t>
            </w:r>
          </w:p>
        </w:tc>
        <w:tc>
          <w:tcPr>
            <w:tcW w:w="4132" w:type="dxa"/>
            <w:gridSpan w:val="3"/>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c>
          <w:tcPr>
            <w:tcW w:w="2872" w:type="dxa"/>
            <w:gridSpan w:val="6"/>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274" w:type="dxa"/>
            <w:gridSpan w:val="2"/>
            <w:vMerge w:val="continue"/>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132" w:type="dxa"/>
            <w:vMerge w:val="restart"/>
            <w:tcBorders>
              <w:top w:val="single" w:color="auto" w:sz="4" w:space="0"/>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基本支出</w:t>
            </w:r>
          </w:p>
        </w:tc>
        <w:tc>
          <w:tcPr>
            <w:tcW w:w="3000" w:type="dxa"/>
            <w:gridSpan w:val="2"/>
            <w:tcBorders>
              <w:top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c>
          <w:tcPr>
            <w:tcW w:w="1080" w:type="dxa"/>
            <w:gridSpan w:val="2"/>
            <w:vMerge w:val="restart"/>
            <w:tcBorders>
              <w:top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项目支出</w:t>
            </w:r>
          </w:p>
        </w:tc>
        <w:tc>
          <w:tcPr>
            <w:tcW w:w="892" w:type="dxa"/>
            <w:gridSpan w:val="3"/>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当年结余</w:t>
            </w:r>
          </w:p>
        </w:tc>
        <w:tc>
          <w:tcPr>
            <w:tcW w:w="900" w:type="dxa"/>
            <w:vMerge w:val="restart"/>
            <w:tcBorders>
              <w:top w:val="single" w:color="auto" w:sz="4" w:space="0"/>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累计结余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4" w:hRule="atLeast"/>
          <w:jc w:val="center"/>
        </w:trPr>
        <w:tc>
          <w:tcPr>
            <w:tcW w:w="1563" w:type="dxa"/>
            <w:gridSpan w:val="3"/>
            <w:vMerge w:val="continue"/>
            <w:vAlign w:val="center"/>
          </w:tcPr>
          <w:p>
            <w:pPr>
              <w:keepNext w:val="0"/>
              <w:keepLines w:val="0"/>
              <w:widowControl/>
              <w:suppressLineNumbers w:val="0"/>
              <w:spacing w:before="0" w:beforeAutospacing="0" w:afterAutospacing="0" w:line="320" w:lineRule="exact"/>
              <w:ind w:left="0" w:right="0"/>
              <w:jc w:val="center"/>
              <w:rPr>
                <w:rFonts w:hint="eastAsia" w:ascii="宋体" w:hAnsi="宋体" w:eastAsia="宋体" w:cs="宋体"/>
                <w:b w:val="0"/>
                <w:bCs w:val="0"/>
                <w:color w:val="auto"/>
                <w:sz w:val="24"/>
                <w:szCs w:val="24"/>
              </w:rPr>
            </w:pPr>
          </w:p>
        </w:tc>
        <w:tc>
          <w:tcPr>
            <w:tcW w:w="1274" w:type="dxa"/>
            <w:gridSpan w:val="2"/>
            <w:vMerge w:val="continue"/>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c>
          <w:tcPr>
            <w:tcW w:w="1132" w:type="dxa"/>
            <w:vMerge w:val="continue"/>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c>
          <w:tcPr>
            <w:tcW w:w="1314"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人员支出</w:t>
            </w:r>
          </w:p>
        </w:tc>
        <w:tc>
          <w:tcPr>
            <w:tcW w:w="1686"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公用支出</w:t>
            </w:r>
          </w:p>
        </w:tc>
        <w:tc>
          <w:tcPr>
            <w:tcW w:w="1080" w:type="dxa"/>
            <w:gridSpan w:val="2"/>
            <w:vMerge w:val="continue"/>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c>
          <w:tcPr>
            <w:tcW w:w="892" w:type="dxa"/>
            <w:gridSpan w:val="3"/>
            <w:vMerge w:val="continue"/>
            <w:tcBorders>
              <w:left w:val="single" w:color="auto" w:sz="4" w:space="0"/>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c>
          <w:tcPr>
            <w:tcW w:w="900" w:type="dxa"/>
            <w:vMerge w:val="continue"/>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77"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局机关及二级机构汇总</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2475.82</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1605.11</w:t>
            </w:r>
          </w:p>
        </w:tc>
        <w:tc>
          <w:tcPr>
            <w:tcW w:w="1314"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1369.57</w:t>
            </w:r>
          </w:p>
        </w:tc>
        <w:tc>
          <w:tcPr>
            <w:tcW w:w="1686"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235.54</w:t>
            </w:r>
          </w:p>
        </w:tc>
        <w:tc>
          <w:tcPr>
            <w:tcW w:w="1080" w:type="dxa"/>
            <w:gridSpan w:val="2"/>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870.71</w:t>
            </w:r>
          </w:p>
        </w:tc>
        <w:tc>
          <w:tcPr>
            <w:tcW w:w="892" w:type="dxa"/>
            <w:gridSpan w:val="3"/>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21.74</w:t>
            </w:r>
          </w:p>
        </w:tc>
        <w:tc>
          <w:tcPr>
            <w:tcW w:w="900"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1、本级机构</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2475.82</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1605.11</w:t>
            </w:r>
          </w:p>
        </w:tc>
        <w:tc>
          <w:tcPr>
            <w:tcW w:w="1314" w:type="dxa"/>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1369.57</w:t>
            </w:r>
          </w:p>
        </w:tc>
        <w:tc>
          <w:tcPr>
            <w:tcW w:w="1686" w:type="dxa"/>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235.54</w:t>
            </w:r>
          </w:p>
        </w:tc>
        <w:tc>
          <w:tcPr>
            <w:tcW w:w="1080" w:type="dxa"/>
            <w:gridSpan w:val="2"/>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870.71</w:t>
            </w:r>
          </w:p>
        </w:tc>
        <w:tc>
          <w:tcPr>
            <w:tcW w:w="892" w:type="dxa"/>
            <w:gridSpan w:val="3"/>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21.74</w:t>
            </w:r>
          </w:p>
        </w:tc>
        <w:tc>
          <w:tcPr>
            <w:tcW w:w="900"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Merge w:val="restart"/>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机构名称</w:t>
            </w:r>
          </w:p>
        </w:tc>
        <w:tc>
          <w:tcPr>
            <w:tcW w:w="1274" w:type="dxa"/>
            <w:gridSpan w:val="2"/>
            <w:vMerge w:val="restart"/>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三公经费</w:t>
            </w:r>
          </w:p>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合计</w:t>
            </w:r>
          </w:p>
        </w:tc>
        <w:tc>
          <w:tcPr>
            <w:tcW w:w="7004" w:type="dxa"/>
            <w:gridSpan w:val="9"/>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274" w:type="dxa"/>
            <w:gridSpan w:val="2"/>
            <w:vMerge w:val="continue"/>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132" w:type="dxa"/>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公务接待费</w:t>
            </w:r>
          </w:p>
        </w:tc>
        <w:tc>
          <w:tcPr>
            <w:tcW w:w="1314"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公务用车运维费</w:t>
            </w:r>
          </w:p>
        </w:tc>
        <w:tc>
          <w:tcPr>
            <w:tcW w:w="1686" w:type="dxa"/>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公务用车购置费</w:t>
            </w:r>
          </w:p>
        </w:tc>
        <w:tc>
          <w:tcPr>
            <w:tcW w:w="2872" w:type="dxa"/>
            <w:gridSpan w:val="6"/>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因公出国出境费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58"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局机关及二级机构汇总</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74.92</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8.44</w:t>
            </w:r>
          </w:p>
        </w:tc>
        <w:tc>
          <w:tcPr>
            <w:tcW w:w="1314"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48.50</w:t>
            </w:r>
          </w:p>
        </w:tc>
        <w:tc>
          <w:tcPr>
            <w:tcW w:w="1686"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17.98</w:t>
            </w:r>
          </w:p>
        </w:tc>
        <w:tc>
          <w:tcPr>
            <w:tcW w:w="2872" w:type="dxa"/>
            <w:gridSpan w:val="6"/>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1、本级机构</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74.92</w:t>
            </w:r>
          </w:p>
        </w:tc>
        <w:tc>
          <w:tcPr>
            <w:tcW w:w="1132" w:type="dxa"/>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8.44</w:t>
            </w:r>
          </w:p>
        </w:tc>
        <w:tc>
          <w:tcPr>
            <w:tcW w:w="1314" w:type="dxa"/>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48.50</w:t>
            </w:r>
          </w:p>
        </w:tc>
        <w:tc>
          <w:tcPr>
            <w:tcW w:w="1686" w:type="dxa"/>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17.98</w:t>
            </w:r>
          </w:p>
        </w:tc>
        <w:tc>
          <w:tcPr>
            <w:tcW w:w="2872" w:type="dxa"/>
            <w:gridSpan w:val="6"/>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Merge w:val="restart"/>
            <w:vAlign w:val="center"/>
          </w:tcPr>
          <w:p>
            <w:pPr>
              <w:keepNext w:val="0"/>
              <w:keepLines w:val="0"/>
              <w:widowControl/>
              <w:suppressLineNumbers w:val="0"/>
              <w:spacing w:before="0" w:beforeAutospacing="0" w:afterAutospacing="0" w:line="320" w:lineRule="exact"/>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机构名称</w:t>
            </w:r>
          </w:p>
        </w:tc>
        <w:tc>
          <w:tcPr>
            <w:tcW w:w="1274" w:type="dxa"/>
            <w:gridSpan w:val="2"/>
            <w:vMerge w:val="restart"/>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固定资产</w:t>
            </w:r>
          </w:p>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合计</w:t>
            </w:r>
          </w:p>
        </w:tc>
        <w:tc>
          <w:tcPr>
            <w:tcW w:w="5130" w:type="dxa"/>
            <w:gridSpan w:val="4"/>
            <w:tcBorders>
              <w:left w:val="single" w:color="auto" w:sz="4" w:space="0"/>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其中：</w:t>
            </w:r>
          </w:p>
        </w:tc>
        <w:tc>
          <w:tcPr>
            <w:tcW w:w="1874" w:type="dxa"/>
            <w:gridSpan w:val="5"/>
            <w:vMerge w:val="restart"/>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95" w:hRule="atLeast"/>
          <w:jc w:val="center"/>
        </w:trPr>
        <w:tc>
          <w:tcPr>
            <w:tcW w:w="1563" w:type="dxa"/>
            <w:gridSpan w:val="3"/>
            <w:vMerge w:val="continue"/>
            <w:vAlign w:val="center"/>
          </w:tcPr>
          <w:p>
            <w:pPr>
              <w:keepNext w:val="0"/>
              <w:keepLines w:val="0"/>
              <w:widowControl/>
              <w:suppressLineNumbers w:val="0"/>
              <w:spacing w:before="0" w:beforeAutospacing="0" w:afterAutospacing="0" w:line="320" w:lineRule="exact"/>
              <w:ind w:left="0" w:right="0"/>
              <w:jc w:val="center"/>
              <w:rPr>
                <w:rFonts w:hint="eastAsia" w:ascii="宋体" w:hAnsi="宋体" w:eastAsia="宋体" w:cs="宋体"/>
                <w:b w:val="0"/>
                <w:bCs w:val="0"/>
                <w:color w:val="auto"/>
                <w:sz w:val="24"/>
                <w:szCs w:val="24"/>
              </w:rPr>
            </w:pPr>
          </w:p>
        </w:tc>
        <w:tc>
          <w:tcPr>
            <w:tcW w:w="1274" w:type="dxa"/>
            <w:gridSpan w:val="2"/>
            <w:vMerge w:val="continue"/>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c>
          <w:tcPr>
            <w:tcW w:w="2446"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在用固定资产</w:t>
            </w:r>
          </w:p>
        </w:tc>
        <w:tc>
          <w:tcPr>
            <w:tcW w:w="268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出租固定资产</w:t>
            </w:r>
          </w:p>
        </w:tc>
        <w:tc>
          <w:tcPr>
            <w:tcW w:w="1874" w:type="dxa"/>
            <w:gridSpan w:val="5"/>
            <w:vMerge w:val="continue"/>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43"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局机关及二级机构汇总</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1237.27</w:t>
            </w:r>
          </w:p>
        </w:tc>
        <w:tc>
          <w:tcPr>
            <w:tcW w:w="2446"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1237.27</w:t>
            </w:r>
          </w:p>
        </w:tc>
        <w:tc>
          <w:tcPr>
            <w:tcW w:w="2684" w:type="dxa"/>
            <w:gridSpan w:val="2"/>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874" w:type="dxa"/>
            <w:gridSpan w:val="5"/>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4" w:hRule="atLeast"/>
          <w:jc w:val="center"/>
        </w:trPr>
        <w:tc>
          <w:tcPr>
            <w:tcW w:w="1563" w:type="dxa"/>
            <w:gridSpan w:val="3"/>
            <w:vAlign w:val="center"/>
          </w:tcPr>
          <w:p>
            <w:pPr>
              <w:keepNext w:val="0"/>
              <w:keepLines w:val="0"/>
              <w:widowControl/>
              <w:suppressLineNumbers w:val="0"/>
              <w:spacing w:before="0" w:beforeAutospacing="0" w:afterAutospacing="0" w:line="32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1、本级机构</w:t>
            </w:r>
          </w:p>
        </w:tc>
        <w:tc>
          <w:tcPr>
            <w:tcW w:w="127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1237.27</w:t>
            </w:r>
          </w:p>
        </w:tc>
        <w:tc>
          <w:tcPr>
            <w:tcW w:w="2446"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leftChars="0" w:right="0" w:rightChars="0"/>
              <w:jc w:val="center"/>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1237.27</w:t>
            </w:r>
          </w:p>
        </w:tc>
        <w:tc>
          <w:tcPr>
            <w:tcW w:w="2684" w:type="dxa"/>
            <w:gridSpan w:val="2"/>
            <w:tcBorders>
              <w:righ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c>
          <w:tcPr>
            <w:tcW w:w="1874" w:type="dxa"/>
            <w:gridSpan w:val="5"/>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9841" w:type="dxa"/>
            <w:gridSpan w:val="14"/>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rPr>
              <w:t>三、部门（单位）整体支出绩效自评情况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216" w:type="dxa"/>
            <w:vMerge w:val="restart"/>
            <w:vAlign w:val="center"/>
          </w:tcPr>
          <w:p>
            <w:pPr>
              <w:keepNext w:val="0"/>
              <w:keepLines w:val="0"/>
              <w:widowControl/>
              <w:suppressLineNumbers w:val="0"/>
              <w:spacing w:before="0" w:beforeAutospacing="0" w:afterAutospacing="0"/>
              <w:ind w:left="0" w:right="0"/>
              <w:jc w:val="both"/>
              <w:rPr>
                <w:rFonts w:hint="eastAsia" w:ascii="宋体" w:hAnsi="宋体" w:eastAsia="宋体" w:cs="宋体"/>
                <w:b w:val="0"/>
                <w:bCs w:val="0"/>
                <w:color w:val="auto"/>
                <w:sz w:val="24"/>
                <w:szCs w:val="24"/>
              </w:rPr>
            </w:pPr>
          </w:p>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整体支出绩效定性目标及实施计划完成情况</w:t>
            </w:r>
          </w:p>
        </w:tc>
        <w:tc>
          <w:tcPr>
            <w:tcW w:w="4067"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预期目标</w:t>
            </w:r>
          </w:p>
        </w:tc>
        <w:tc>
          <w:tcPr>
            <w:tcW w:w="4558" w:type="dxa"/>
            <w:gridSpan w:val="7"/>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实际完成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1216" w:type="dxa"/>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p>
        </w:tc>
        <w:tc>
          <w:tcPr>
            <w:tcW w:w="4067" w:type="dxa"/>
            <w:gridSpan w:val="6"/>
            <w:tcBorders>
              <w:bottom w:val="single" w:color="auto" w:sz="4" w:space="0"/>
            </w:tcBorders>
            <w:vAlign w:val="center"/>
          </w:tcPr>
          <w:p>
            <w:pPr>
              <w:keepNext w:val="0"/>
              <w:keepLines w:val="0"/>
              <w:widowControl/>
              <w:suppressLineNumbers w:val="0"/>
              <w:spacing w:before="0" w:beforeAutospacing="0" w:afterAutospacing="0"/>
              <w:ind w:left="0" w:right="53" w:rightChars="25"/>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目标1：深入创建习近平总书记关于加强和改进人民政协工作的重要思想实践基地。切实加强新时代政协党建。协助州委做好政协换届工作。</w:t>
            </w:r>
          </w:p>
        </w:tc>
        <w:tc>
          <w:tcPr>
            <w:tcW w:w="4558" w:type="dxa"/>
            <w:gridSpan w:val="7"/>
            <w:tcBorders>
              <w:bottom w:val="single" w:color="auto" w:sz="4" w:space="0"/>
            </w:tcBorders>
            <w:vAlign w:val="center"/>
          </w:tcPr>
          <w:p>
            <w:pPr>
              <w:keepNext w:val="0"/>
              <w:keepLines w:val="0"/>
              <w:widowControl/>
              <w:suppressLineNumbers w:val="0"/>
              <w:spacing w:before="0" w:beforeAutospacing="0" w:afterAutospacing="0"/>
              <w:ind w:left="0" w:leftChars="0" w:right="0" w:firstLine="218" w:firstLineChars="91"/>
              <w:rPr>
                <w:rFonts w:hint="eastAsia" w:ascii="宋体" w:hAnsi="宋体" w:eastAsia="宋体" w:cs="宋体"/>
                <w:b w:val="0"/>
                <w:bCs w:val="0"/>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216" w:type="dxa"/>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p>
        </w:tc>
        <w:tc>
          <w:tcPr>
            <w:tcW w:w="4067" w:type="dxa"/>
            <w:gridSpan w:val="6"/>
            <w:tcBorders>
              <w:bottom w:val="single" w:color="auto" w:sz="4" w:space="0"/>
            </w:tcBorders>
            <w:vAlign w:val="center"/>
          </w:tcPr>
          <w:p>
            <w:pPr>
              <w:keepNext w:val="0"/>
              <w:keepLines w:val="0"/>
              <w:widowControl/>
              <w:suppressLineNumbers w:val="0"/>
              <w:spacing w:before="0" w:beforeAutospacing="0" w:afterAutospacing="0"/>
              <w:ind w:left="0" w:right="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目标2：认真组织实施年度协商与监督计划。切实加强新时代政协民主监督。不断加大提案工作力度。</w:t>
            </w:r>
          </w:p>
        </w:tc>
        <w:tc>
          <w:tcPr>
            <w:tcW w:w="4558" w:type="dxa"/>
            <w:gridSpan w:val="7"/>
            <w:tcBorders>
              <w:bottom w:val="single" w:color="auto" w:sz="4" w:space="0"/>
            </w:tcBorders>
            <w:vAlign w:val="center"/>
          </w:tcPr>
          <w:p>
            <w:pPr>
              <w:keepNext w:val="0"/>
              <w:keepLines w:val="0"/>
              <w:widowControl/>
              <w:suppressLineNumbers w:val="0"/>
              <w:spacing w:before="0" w:beforeAutospacing="0" w:afterAutospacing="0"/>
              <w:ind w:left="0" w:right="0" w:firstLine="240" w:firstLineChars="100"/>
              <w:rPr>
                <w:rFonts w:hint="eastAsia" w:ascii="宋体" w:hAnsi="宋体" w:eastAsia="宋体" w:cs="宋体"/>
                <w:b w:val="0"/>
                <w:bCs w:val="0"/>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02" w:hRule="atLeast"/>
          <w:jc w:val="center"/>
        </w:trPr>
        <w:tc>
          <w:tcPr>
            <w:tcW w:w="1216" w:type="dxa"/>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p>
        </w:tc>
        <w:tc>
          <w:tcPr>
            <w:tcW w:w="4067" w:type="dxa"/>
            <w:gridSpan w:val="6"/>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目标3：围绕中心履行职能。关注群众身边事切实增进民生福祉。全力助推脱贫攻坚与乡村振兴有效衔接。</w:t>
            </w:r>
          </w:p>
        </w:tc>
        <w:tc>
          <w:tcPr>
            <w:tcW w:w="4558" w:type="dxa"/>
            <w:gridSpan w:val="7"/>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firstLine="480" w:firstLineChars="200"/>
              <w:rPr>
                <w:rFonts w:hint="eastAsia" w:ascii="宋体" w:hAnsi="宋体" w:eastAsia="宋体" w:cs="宋体"/>
                <w:color w:val="FF000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27" w:hRule="atLeast"/>
          <w:jc w:val="center"/>
        </w:trPr>
        <w:tc>
          <w:tcPr>
            <w:tcW w:w="1216" w:type="dxa"/>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p>
        </w:tc>
        <w:tc>
          <w:tcPr>
            <w:tcW w:w="4067" w:type="dxa"/>
            <w:gridSpan w:val="6"/>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目标4：充分发挥民主党派作用。不断画大湘西建设的同心圆。加强文史宣传工作。 </w:t>
            </w:r>
          </w:p>
        </w:tc>
        <w:tc>
          <w:tcPr>
            <w:tcW w:w="4558" w:type="dxa"/>
            <w:gridSpan w:val="7"/>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163" w:hRule="atLeast"/>
          <w:jc w:val="center"/>
        </w:trPr>
        <w:tc>
          <w:tcPr>
            <w:tcW w:w="1216" w:type="dxa"/>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p>
        </w:tc>
        <w:tc>
          <w:tcPr>
            <w:tcW w:w="4067" w:type="dxa"/>
            <w:gridSpan w:val="6"/>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目标</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：抓好委员工作室建设。发挥委员主体作用。加强政协机关建设。</w:t>
            </w:r>
          </w:p>
        </w:tc>
        <w:tc>
          <w:tcPr>
            <w:tcW w:w="4558" w:type="dxa"/>
            <w:gridSpan w:val="7"/>
            <w:tcBorders>
              <w:top w:val="single" w:color="auto" w:sz="4" w:space="0"/>
              <w:bottom w:val="single" w:color="auto" w:sz="4" w:space="0"/>
            </w:tcBorders>
            <w:vAlign w:val="center"/>
          </w:tcPr>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216" w:type="dxa"/>
            <w:vMerge w:val="restart"/>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整体支出</w:t>
            </w:r>
          </w:p>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绩效定量目标及实施计划完成情况</w:t>
            </w:r>
          </w:p>
        </w:tc>
        <w:tc>
          <w:tcPr>
            <w:tcW w:w="4067" w:type="dxa"/>
            <w:gridSpan w:val="6"/>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评价内容</w:t>
            </w:r>
          </w:p>
        </w:tc>
        <w:tc>
          <w:tcPr>
            <w:tcW w:w="1686" w:type="dxa"/>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绩效目标</w:t>
            </w:r>
          </w:p>
        </w:tc>
        <w:tc>
          <w:tcPr>
            <w:tcW w:w="2872" w:type="dxa"/>
            <w:gridSpan w:val="6"/>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4"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restart"/>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产出目标</w:t>
            </w:r>
          </w:p>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p>
        </w:tc>
        <w:tc>
          <w:tcPr>
            <w:tcW w:w="1401" w:type="dxa"/>
            <w:gridSpan w:val="2"/>
            <w:vMerge w:val="restart"/>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数量、质量、时效、成本指标</w:t>
            </w:r>
          </w:p>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指标1：重点工作完成率</w:t>
            </w:r>
          </w:p>
        </w:tc>
        <w:tc>
          <w:tcPr>
            <w:tcW w:w="1686" w:type="dxa"/>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w:t>
            </w:r>
          </w:p>
        </w:tc>
        <w:tc>
          <w:tcPr>
            <w:tcW w:w="2872"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100</w:t>
            </w:r>
            <w:r>
              <w:rPr>
                <w:rFonts w:hint="eastAsia" w:ascii="宋体" w:hAnsi="宋体" w:eastAsia="宋体" w:cs="宋体"/>
                <w:b w:val="0"/>
                <w:bCs w:val="0"/>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5"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b w:val="0"/>
                <w:bCs w:val="0"/>
                <w:color w:val="FF0000"/>
                <w:sz w:val="24"/>
                <w:szCs w:val="24"/>
              </w:rPr>
            </w:pPr>
          </w:p>
        </w:tc>
        <w:tc>
          <w:tcPr>
            <w:tcW w:w="1401" w:type="dxa"/>
            <w:gridSpan w:val="2"/>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指标2：预算完成率</w:t>
            </w:r>
          </w:p>
        </w:tc>
        <w:tc>
          <w:tcPr>
            <w:tcW w:w="1686" w:type="dxa"/>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w:t>
            </w:r>
          </w:p>
        </w:tc>
        <w:tc>
          <w:tcPr>
            <w:tcW w:w="2872"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99</w:t>
            </w:r>
            <w:r>
              <w:rPr>
                <w:rFonts w:hint="eastAsia" w:ascii="宋体" w:hAnsi="宋体" w:eastAsia="宋体" w:cs="宋体"/>
                <w:b w:val="0"/>
                <w:bCs w:val="0"/>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4"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b w:val="0"/>
                <w:bCs w:val="0"/>
                <w:color w:val="FF0000"/>
                <w:sz w:val="24"/>
                <w:szCs w:val="24"/>
              </w:rPr>
            </w:pPr>
          </w:p>
        </w:tc>
        <w:tc>
          <w:tcPr>
            <w:tcW w:w="1401" w:type="dxa"/>
            <w:gridSpan w:val="2"/>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指标3：政府采购执行率</w:t>
            </w:r>
          </w:p>
        </w:tc>
        <w:tc>
          <w:tcPr>
            <w:tcW w:w="1686" w:type="dxa"/>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w:t>
            </w:r>
          </w:p>
        </w:tc>
        <w:tc>
          <w:tcPr>
            <w:tcW w:w="2872"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100</w:t>
            </w:r>
            <w:r>
              <w:rPr>
                <w:rFonts w:hint="eastAsia" w:ascii="宋体" w:hAnsi="宋体" w:eastAsia="宋体" w:cs="宋体"/>
                <w:b w:val="0"/>
                <w:bCs w:val="0"/>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93"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b w:val="0"/>
                <w:bCs w:val="0"/>
                <w:color w:val="FF0000"/>
                <w:sz w:val="24"/>
                <w:szCs w:val="24"/>
              </w:rPr>
            </w:pPr>
          </w:p>
        </w:tc>
        <w:tc>
          <w:tcPr>
            <w:tcW w:w="1401" w:type="dxa"/>
            <w:gridSpan w:val="2"/>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auto"/>
                <w:sz w:val="24"/>
                <w:szCs w:val="24"/>
              </w:rPr>
            </w:pP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指标4：“三公经费”控制率</w:t>
            </w:r>
          </w:p>
        </w:tc>
        <w:tc>
          <w:tcPr>
            <w:tcW w:w="1686" w:type="dxa"/>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w:t>
            </w:r>
          </w:p>
        </w:tc>
        <w:tc>
          <w:tcPr>
            <w:tcW w:w="2872"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47</w:t>
            </w:r>
            <w:r>
              <w:rPr>
                <w:rFonts w:hint="eastAsia" w:ascii="宋体" w:hAnsi="宋体" w:eastAsia="宋体" w:cs="宋体"/>
                <w:b w:val="0"/>
                <w:bCs w:val="0"/>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235"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b w:val="0"/>
                <w:bCs w:val="0"/>
                <w:color w:val="FF0000"/>
                <w:sz w:val="24"/>
                <w:szCs w:val="24"/>
              </w:rPr>
            </w:pPr>
          </w:p>
        </w:tc>
        <w:tc>
          <w:tcPr>
            <w:tcW w:w="1401" w:type="dxa"/>
            <w:gridSpan w:val="2"/>
            <w:vMerge w:val="continue"/>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color w:val="FF0000"/>
                <w:sz w:val="24"/>
                <w:szCs w:val="24"/>
              </w:rPr>
            </w:pP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指标</w:t>
            </w:r>
            <w:r>
              <w:rPr>
                <w:rFonts w:hint="default" w:ascii="宋体" w:hAnsi="宋体" w:eastAsia="宋体" w:cs="宋体"/>
                <w:b w:val="0"/>
                <w:bCs w:val="0"/>
                <w:color w:val="auto"/>
                <w:sz w:val="24"/>
                <w:szCs w:val="24"/>
                <w:lang w:val="en-US"/>
              </w:rPr>
              <w:t>5</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固定资产利用率</w:t>
            </w:r>
          </w:p>
        </w:tc>
        <w:tc>
          <w:tcPr>
            <w:tcW w:w="1686" w:type="dxa"/>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100%</w:t>
            </w:r>
          </w:p>
        </w:tc>
        <w:tc>
          <w:tcPr>
            <w:tcW w:w="2872" w:type="dxa"/>
            <w:gridSpan w:val="6"/>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019"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restart"/>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效益目标</w:t>
            </w:r>
          </w:p>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（预期实现的效益）</w:t>
            </w:r>
          </w:p>
        </w:tc>
        <w:tc>
          <w:tcPr>
            <w:tcW w:w="1401"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社会效益</w:t>
            </w: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rPr>
              <w:t>发挥政协智囊团的作用，向州委、州政府建言献策，为领导决策提供可靠、及时、有效的依据。切实解决我州各项建设和群众日常生活中存在的困难。</w:t>
            </w:r>
          </w:p>
        </w:tc>
        <w:tc>
          <w:tcPr>
            <w:tcW w:w="1686" w:type="dxa"/>
            <w:tcBorders>
              <w:left w:val="single" w:color="auto" w:sz="4" w:space="0"/>
              <w:right w:val="single" w:color="auto" w:sz="4" w:space="0"/>
            </w:tcBorders>
            <w:vAlign w:val="center"/>
          </w:tcPr>
          <w:p>
            <w:pPr>
              <w:keepNext w:val="0"/>
              <w:keepLines w:val="0"/>
              <w:widowControl/>
              <w:suppressLineNumbers w:val="0"/>
              <w:spacing w:before="0" w:beforeAutospacing="0" w:afterAutospacing="0"/>
              <w:ind w:left="0" w:right="0" w:firstLine="480" w:firstLineChars="200"/>
              <w:jc w:val="both"/>
              <w:rPr>
                <w:rFonts w:hint="eastAsia" w:ascii="宋体" w:hAnsi="宋体" w:eastAsia="宋体" w:cs="宋体"/>
                <w:b/>
                <w:color w:val="auto"/>
                <w:sz w:val="24"/>
                <w:szCs w:val="24"/>
              </w:rPr>
            </w:pPr>
            <w:r>
              <w:rPr>
                <w:rFonts w:hint="eastAsia" w:ascii="宋体" w:hAnsi="宋体" w:eastAsia="宋体" w:cs="宋体"/>
                <w:b w:val="0"/>
                <w:bCs/>
                <w:color w:val="auto"/>
                <w:sz w:val="24"/>
                <w:szCs w:val="24"/>
                <w:lang w:val="en-US" w:eastAsia="zh-CN"/>
              </w:rPr>
              <w:t>达到预期</w:t>
            </w:r>
          </w:p>
        </w:tc>
        <w:tc>
          <w:tcPr>
            <w:tcW w:w="2872" w:type="dxa"/>
            <w:gridSpan w:val="6"/>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已完成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252"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bookmarkStart w:id="0" w:name="_Hlk41169370"/>
          </w:p>
        </w:tc>
        <w:tc>
          <w:tcPr>
            <w:tcW w:w="1352" w:type="dxa"/>
            <w:gridSpan w:val="3"/>
            <w:vMerge w:val="continue"/>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p>
        </w:tc>
        <w:tc>
          <w:tcPr>
            <w:tcW w:w="1401"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经济效益</w:t>
            </w:r>
          </w:p>
        </w:tc>
        <w:tc>
          <w:tcPr>
            <w:tcW w:w="1314" w:type="dxa"/>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发挥政协联系面广，委员界别多的自身优势，为我州经济建设积极提供及时、有效信息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为我州经济腾飞注入活力。</w:t>
            </w:r>
          </w:p>
        </w:tc>
        <w:tc>
          <w:tcPr>
            <w:tcW w:w="1686" w:type="dxa"/>
            <w:tcBorders>
              <w:left w:val="single" w:color="auto" w:sz="4" w:space="0"/>
              <w:right w:val="single" w:color="auto" w:sz="4" w:space="0"/>
            </w:tcBorders>
            <w:vAlign w:val="center"/>
          </w:tcPr>
          <w:p>
            <w:pPr>
              <w:keepNext w:val="0"/>
              <w:keepLines w:val="0"/>
              <w:widowControl/>
              <w:suppressLineNumbers w:val="0"/>
              <w:spacing w:before="0" w:beforeAutospacing="0" w:afterAutospacing="0"/>
              <w:ind w:left="16" w:leftChars="0" w:right="0" w:hanging="16" w:hangingChars="7"/>
              <w:jc w:val="center"/>
              <w:rPr>
                <w:rFonts w:hint="default" w:ascii="宋体" w:hAnsi="宋体" w:eastAsia="宋体" w:cs="宋体"/>
                <w:b/>
                <w:color w:val="auto"/>
                <w:sz w:val="24"/>
                <w:szCs w:val="24"/>
                <w:lang w:val="en-US" w:eastAsia="zh-CN"/>
              </w:rPr>
            </w:pPr>
            <w:r>
              <w:rPr>
                <w:rFonts w:hint="eastAsia" w:ascii="宋体" w:hAnsi="宋体" w:eastAsia="宋体" w:cs="宋体"/>
                <w:b w:val="0"/>
                <w:bCs/>
                <w:color w:val="auto"/>
                <w:sz w:val="24"/>
                <w:szCs w:val="24"/>
                <w:lang w:val="en-US" w:eastAsia="zh-CN"/>
              </w:rPr>
              <w:t>达到预期</w:t>
            </w:r>
          </w:p>
        </w:tc>
        <w:tc>
          <w:tcPr>
            <w:tcW w:w="2872" w:type="dxa"/>
            <w:gridSpan w:val="6"/>
            <w:tcBorders>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已完成</w:t>
            </w:r>
          </w:p>
        </w:tc>
      </w:tr>
      <w:bookmarkEnd w:id="0"/>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58"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401" w:type="dxa"/>
            <w:gridSpan w:val="2"/>
            <w:vMerge w:val="restart"/>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社会公众或服务对象满意度</w:t>
            </w:r>
          </w:p>
        </w:tc>
        <w:tc>
          <w:tcPr>
            <w:tcW w:w="1314" w:type="dxa"/>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指标1：服务对象满意度</w:t>
            </w:r>
          </w:p>
        </w:tc>
        <w:tc>
          <w:tcPr>
            <w:tcW w:w="1686" w:type="dxa"/>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95%</w:t>
            </w:r>
          </w:p>
        </w:tc>
        <w:tc>
          <w:tcPr>
            <w:tcW w:w="2872" w:type="dxa"/>
            <w:gridSpan w:val="6"/>
            <w:tcBorders>
              <w:left w:val="single" w:color="auto" w:sz="4" w:space="0"/>
              <w:bottom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85"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401" w:type="dxa"/>
            <w:gridSpan w:val="2"/>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1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指标2：社会群众满意度</w:t>
            </w:r>
          </w:p>
        </w:tc>
        <w:tc>
          <w:tcPr>
            <w:tcW w:w="16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95%</w:t>
            </w:r>
          </w:p>
        </w:tc>
        <w:tc>
          <w:tcPr>
            <w:tcW w:w="2872" w:type="dxa"/>
            <w:gridSpan w:val="6"/>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62" w:hRule="atLeast"/>
          <w:jc w:val="center"/>
        </w:trPr>
        <w:tc>
          <w:tcPr>
            <w:tcW w:w="1216" w:type="dxa"/>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52" w:type="dxa"/>
            <w:gridSpan w:val="3"/>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401" w:type="dxa"/>
            <w:gridSpan w:val="2"/>
            <w:vMerge w:val="continue"/>
            <w:vAlign w:val="center"/>
          </w:tcPr>
          <w:p>
            <w:pPr>
              <w:keepNext w:val="0"/>
              <w:keepLines w:val="0"/>
              <w:widowControl/>
              <w:suppressLineNumbers w:val="0"/>
              <w:spacing w:before="0" w:beforeAutospacing="0" w:afterAutospacing="0"/>
              <w:ind w:left="0" w:right="0"/>
              <w:rPr>
                <w:rFonts w:hint="eastAsia" w:ascii="宋体" w:hAnsi="宋体" w:eastAsia="宋体" w:cs="宋体"/>
                <w:color w:val="auto"/>
                <w:sz w:val="24"/>
                <w:szCs w:val="24"/>
              </w:rPr>
            </w:pPr>
          </w:p>
        </w:tc>
        <w:tc>
          <w:tcPr>
            <w:tcW w:w="1314" w:type="dxa"/>
            <w:tcBorders>
              <w:top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指标3：部门内部满意度</w:t>
            </w:r>
          </w:p>
        </w:tc>
        <w:tc>
          <w:tcPr>
            <w:tcW w:w="168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95%</w:t>
            </w:r>
          </w:p>
        </w:tc>
        <w:tc>
          <w:tcPr>
            <w:tcW w:w="2872" w:type="dxa"/>
            <w:gridSpan w:val="6"/>
            <w:tcBorders>
              <w:top w:val="single" w:color="auto" w:sz="4" w:space="0"/>
              <w:left w:val="single" w:color="auto" w:sz="4" w:space="0"/>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2568" w:type="dxa"/>
            <w:gridSpan w:val="4"/>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绩效自评综合得分及评价等次</w:t>
            </w:r>
          </w:p>
        </w:tc>
        <w:tc>
          <w:tcPr>
            <w:tcW w:w="7273" w:type="dxa"/>
            <w:gridSpan w:val="1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评分：97.9         等次：</w:t>
            </w:r>
            <w:r>
              <w:rPr>
                <w:rFonts w:hint="eastAsia" w:ascii="宋体" w:hAnsi="宋体" w:eastAsia="宋体" w:cs="宋体"/>
                <w:color w:val="auto"/>
                <w:sz w:val="24"/>
                <w:szCs w:val="24"/>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2568" w:type="dxa"/>
            <w:gridSpan w:val="4"/>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备注</w:t>
            </w:r>
          </w:p>
        </w:tc>
        <w:tc>
          <w:tcPr>
            <w:tcW w:w="7273" w:type="dxa"/>
            <w:gridSpan w:val="1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90（含）—100分为优；80（含）—90分为良； 60（含）—80 分为较差；60分以下为差。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9841" w:type="dxa"/>
            <w:gridSpan w:val="14"/>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四、评价人员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67"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  名</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职务/职称</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  位</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签  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何湘永</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州政协秘书长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查仕清</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州政协副秘书长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向仕莲</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州政协副秘书长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龙英芹</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州政协副秘书长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向学智</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州政协民族宗教法制群团委主任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杜修炎</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州政协提案委主任</w:t>
            </w:r>
          </w:p>
        </w:tc>
        <w:tc>
          <w:tcPr>
            <w:tcW w:w="3216" w:type="dxa"/>
            <w:gridSpan w:val="5"/>
            <w:tcBorders>
              <w:right w:val="single" w:color="auto" w:sz="4" w:space="0"/>
            </w:tcBorders>
            <w:vAlign w:val="top"/>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贺显明</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州政协人口资源环境委主任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彭  俊</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w:t>
            </w:r>
            <w:r>
              <w:rPr>
                <w:rFonts w:hint="eastAsia" w:ascii="宋体" w:hAnsi="宋体" w:eastAsia="宋体" w:cs="宋体"/>
                <w:color w:val="auto"/>
                <w:sz w:val="24"/>
                <w:szCs w:val="24"/>
                <w:lang w:val="en-US" w:eastAsia="zh-CN"/>
              </w:rPr>
              <w:t>农业和农村委员会主任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罗  虹</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w:t>
            </w:r>
            <w:r>
              <w:rPr>
                <w:rFonts w:hint="eastAsia" w:ascii="宋体" w:hAnsi="宋体" w:eastAsia="宋体" w:cs="宋体"/>
                <w:color w:val="auto"/>
                <w:sz w:val="24"/>
                <w:szCs w:val="24"/>
                <w:lang w:val="en-US" w:eastAsia="zh-CN"/>
              </w:rPr>
              <w:t>经济科技</w:t>
            </w:r>
            <w:r>
              <w:rPr>
                <w:rFonts w:hint="eastAsia" w:ascii="宋体" w:hAnsi="宋体" w:eastAsia="宋体" w:cs="宋体"/>
                <w:color w:val="auto"/>
                <w:sz w:val="24"/>
                <w:szCs w:val="24"/>
              </w:rPr>
              <w:t>委主任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龙延平</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州政协文教和文史</w:t>
            </w:r>
            <w:r>
              <w:rPr>
                <w:rFonts w:hint="eastAsia" w:ascii="宋体" w:hAnsi="宋体" w:eastAsia="宋体" w:cs="宋体"/>
                <w:color w:val="auto"/>
                <w:sz w:val="24"/>
                <w:szCs w:val="24"/>
              </w:rPr>
              <w:t>委主任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李运辉</w:t>
            </w:r>
          </w:p>
        </w:tc>
        <w:tc>
          <w:tcPr>
            <w:tcW w:w="3765" w:type="dxa"/>
            <w:gridSpan w:val="5"/>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州政协委员联络学习</w:t>
            </w:r>
            <w:r>
              <w:rPr>
                <w:rFonts w:hint="eastAsia" w:ascii="宋体" w:hAnsi="宋体" w:eastAsia="宋体" w:cs="宋体"/>
                <w:color w:val="auto"/>
                <w:sz w:val="24"/>
                <w:szCs w:val="24"/>
              </w:rPr>
              <w:t>委主任</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郭震寰</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州政协办公室财务科科长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5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孙  伟</w:t>
            </w:r>
          </w:p>
        </w:tc>
        <w:tc>
          <w:tcPr>
            <w:tcW w:w="3765" w:type="dxa"/>
            <w:gridSpan w:val="5"/>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州政协办公室行政科科长</w:t>
            </w:r>
          </w:p>
        </w:tc>
        <w:tc>
          <w:tcPr>
            <w:tcW w:w="3216" w:type="dxa"/>
            <w:gridSpan w:val="5"/>
            <w:tcBorders>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政协湘西自治州委员会办公室</w:t>
            </w:r>
          </w:p>
        </w:tc>
        <w:tc>
          <w:tcPr>
            <w:tcW w:w="1342" w:type="dxa"/>
            <w:gridSpan w:val="2"/>
            <w:tcBorders>
              <w:left w:val="single" w:color="auto" w:sz="4" w:space="0"/>
            </w:tcBorders>
            <w:vAlign w:val="center"/>
          </w:tcPr>
          <w:p>
            <w:pPr>
              <w:keepNext w:val="0"/>
              <w:keepLines w:val="0"/>
              <w:widowControl/>
              <w:suppressLineNumbers w:val="0"/>
              <w:autoSpaceDN w:val="0"/>
              <w:spacing w:before="0" w:beforeAutospacing="0" w:afterAutospacing="0" w:line="320" w:lineRule="exact"/>
              <w:ind w:left="0" w:right="0"/>
              <w:jc w:val="center"/>
              <w:textAlignment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932" w:hRule="atLeast"/>
          <w:jc w:val="center"/>
        </w:trPr>
        <w:tc>
          <w:tcPr>
            <w:tcW w:w="9841" w:type="dxa"/>
            <w:gridSpan w:val="14"/>
            <w:vAlign w:val="center"/>
          </w:tcPr>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firstLine="240" w:firstLineChars="1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评价组组长签署意见：</w:t>
            </w: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firstLine="5280" w:firstLineChars="22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评价组组长（签字）：</w:t>
            </w: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leftChars="0" w:right="0" w:right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22" w:hRule="atLeast"/>
          <w:jc w:val="center"/>
        </w:trPr>
        <w:tc>
          <w:tcPr>
            <w:tcW w:w="9841" w:type="dxa"/>
            <w:gridSpan w:val="14"/>
            <w:vAlign w:val="center"/>
          </w:tcPr>
          <w:p>
            <w:pPr>
              <w:keepNext w:val="0"/>
              <w:keepLines w:val="0"/>
              <w:widowControl/>
              <w:suppressLineNumbers w:val="0"/>
              <w:autoSpaceDN w:val="0"/>
              <w:spacing w:before="0" w:beforeAutospacing="0" w:after="0" w:afterAutospacing="0" w:line="320" w:lineRule="exact"/>
              <w:ind w:left="0" w:right="0" w:firstLine="240" w:firstLineChars="10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firstLine="240" w:firstLineChars="1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部门（单位）意见：</w:t>
            </w: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部门（单位）负责人（签字）：               部门（单位）（盖章）：</w:t>
            </w: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p>
          <w:p>
            <w:pPr>
              <w:keepNext w:val="0"/>
              <w:keepLines w:val="0"/>
              <w:widowControl/>
              <w:suppressLineNumbers w:val="0"/>
              <w:autoSpaceDN w:val="0"/>
              <w:spacing w:before="0" w:beforeAutospacing="0" w:after="0" w:afterAutospacing="0" w:line="320" w:lineRule="exact"/>
              <w:ind w:left="0" w:leftChars="0" w:right="0" w:right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00" w:hRule="atLeast"/>
          <w:jc w:val="center"/>
        </w:trPr>
        <w:tc>
          <w:tcPr>
            <w:tcW w:w="9841" w:type="dxa"/>
            <w:gridSpan w:val="14"/>
            <w:vAlign w:val="center"/>
          </w:tcPr>
          <w:p>
            <w:pPr>
              <w:keepNext w:val="0"/>
              <w:keepLines w:val="0"/>
              <w:widowControl/>
              <w:suppressLineNumbers w:val="0"/>
              <w:spacing w:before="0" w:beforeAutospacing="0" w:after="0" w:afterAutospacing="0" w:line="320" w:lineRule="exact"/>
              <w:ind w:left="0" w:right="0" w:firstLine="240" w:firstLineChars="10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320" w:lineRule="exact"/>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财政部门归口业务科室意见：</w:t>
            </w:r>
          </w:p>
          <w:p>
            <w:pPr>
              <w:keepNext w:val="0"/>
              <w:keepLines w:val="0"/>
              <w:widowControl/>
              <w:suppressLineNumbers w:val="0"/>
              <w:spacing w:before="0" w:beforeAutospacing="0" w:after="0" w:afterAutospacing="0" w:line="320" w:lineRule="exact"/>
              <w:ind w:left="0" w:right="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320" w:lineRule="exact"/>
              <w:ind w:left="0" w:right="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320" w:lineRule="exact"/>
              <w:ind w:left="0" w:right="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320" w:lineRule="exact"/>
              <w:ind w:left="0" w:right="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line="32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  财政部门归口业务科室负责人（签字）：       财政部门归口业务科室（盖章）：</w:t>
            </w:r>
          </w:p>
          <w:p>
            <w:pPr>
              <w:keepNext w:val="0"/>
              <w:keepLines w:val="0"/>
              <w:widowControl/>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keepNext w:val="0"/>
              <w:keepLines w:val="0"/>
              <w:widowControl/>
              <w:suppressLineNumbers w:val="0"/>
              <w:autoSpaceDN w:val="0"/>
              <w:spacing w:before="0" w:beforeAutospacing="0" w:after="0" w:afterAutospacing="0" w:line="320" w:lineRule="exact"/>
              <w:ind w:left="0" w:leftChars="0" w:right="0" w:rightChars="0" w:firstLine="7440" w:firstLineChars="31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before="143" w:line="218" w:lineRule="auto"/>
        <w:jc w:val="center"/>
        <w:rPr>
          <w:rFonts w:ascii="宋体" w:hAnsi="宋体" w:eastAsia="宋体" w:cs="宋体"/>
          <w:spacing w:val="-2"/>
          <w:sz w:val="44"/>
          <w:szCs w:val="44"/>
          <w14:textOutline w14:w="7988" w14:cap="flat" w14:cmpd="sng">
            <w14:solidFill>
              <w14:srgbClr w14:val="000000"/>
            </w14:solidFill>
            <w14:prstDash w14:val="solid"/>
            <w14:miter w14:val="0"/>
          </w14:textOutline>
        </w:rPr>
      </w:pPr>
      <w:r>
        <w:rPr>
          <w:rFonts w:ascii="宋体" w:hAnsi="宋体" w:eastAsia="宋体" w:cs="宋体"/>
          <w:spacing w:val="-2"/>
          <w:sz w:val="44"/>
          <w:szCs w:val="44"/>
          <w14:textOutline w14:w="7988" w14:cap="flat" w14:cmpd="sng">
            <w14:solidFill>
              <w14:srgbClr w14:val="000000"/>
            </w14:solidFill>
            <w14:prstDash w14:val="solid"/>
            <w14:miter w14:val="0"/>
          </w14:textOutline>
        </w:rPr>
        <w:t>部门整体支出绩效评价报告</w:t>
      </w:r>
    </w:p>
    <w:p>
      <w:pPr>
        <w:pStyle w:val="71"/>
        <w:keepNext w:val="0"/>
        <w:keepLines w:val="0"/>
        <w:pageBreakBefore w:val="0"/>
        <w:widowControl/>
        <w:kinsoku/>
        <w:wordWrap/>
        <w:overflowPunct/>
        <w:topLinePunct w:val="0"/>
        <w:autoSpaceDE/>
        <w:autoSpaceDN/>
        <w:bidi w:val="0"/>
        <w:adjustRightInd/>
        <w:snapToGrid/>
        <w:spacing w:before="368" w:beforeLines="100" w:after="183" w:afterLines="50" w:line="540" w:lineRule="exact"/>
        <w:ind w:left="0" w:leftChars="0" w:firstLine="840" w:firstLineChars="279"/>
        <w:textAlignment w:val="auto"/>
        <w:rPr>
          <w:rFonts w:hint="eastAsia" w:ascii="仿宋" w:hAnsi="仿宋" w:eastAsia="仿宋" w:cs="仿宋"/>
          <w:b/>
          <w:bCs/>
          <w:color w:val="auto"/>
          <w:sz w:val="30"/>
          <w:szCs w:val="30"/>
        </w:rPr>
      </w:pPr>
      <w:r>
        <w:rPr>
          <w:rFonts w:hint="eastAsia" w:ascii="仿宋" w:hAnsi="仿宋" w:eastAsia="仿宋" w:cs="仿宋"/>
          <w:b/>
          <w:bCs/>
          <w:color w:val="auto"/>
          <w:sz w:val="30"/>
          <w:szCs w:val="30"/>
        </w:rPr>
        <w:t>一、基本情况</w:t>
      </w:r>
    </w:p>
    <w:p>
      <w:pPr>
        <w:pStyle w:val="71"/>
        <w:widowControl/>
        <w:spacing w:before="183" w:beforeLines="50" w:after="183" w:afterLines="50" w:line="540" w:lineRule="exact"/>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（一）</w:t>
      </w:r>
      <w:bookmarkStart w:id="1" w:name="_Hlk40300346"/>
      <w:r>
        <w:rPr>
          <w:rFonts w:hint="eastAsia" w:ascii="仿宋" w:hAnsi="仿宋" w:eastAsia="仿宋" w:cs="仿宋"/>
          <w:color w:val="auto"/>
          <w:sz w:val="30"/>
          <w:szCs w:val="30"/>
        </w:rPr>
        <w:t>单位基本情况</w:t>
      </w:r>
      <w:bookmarkEnd w:id="1"/>
    </w:p>
    <w:p>
      <w:pPr>
        <w:pStyle w:val="71"/>
        <w:spacing w:before="183" w:beforeLines="50" w:after="183" w:afterLines="50" w:line="540" w:lineRule="exact"/>
        <w:ind w:firstLine="600"/>
        <w:rPr>
          <w:rFonts w:hint="default" w:ascii="仿宋" w:hAnsi="仿宋" w:eastAsia="仿宋" w:cs="仿宋"/>
          <w:color w:val="auto"/>
          <w:sz w:val="30"/>
          <w:szCs w:val="30"/>
          <w:lang w:val="en-US" w:eastAsia="zh-CN"/>
        </w:rPr>
      </w:pPr>
      <w:bookmarkStart w:id="2" w:name="_Toc2195"/>
      <w:r>
        <w:rPr>
          <w:rFonts w:hint="eastAsia" w:ascii="仿宋" w:hAnsi="仿宋" w:eastAsia="仿宋" w:cs="仿宋"/>
          <w:color w:val="auto"/>
          <w:sz w:val="30"/>
          <w:szCs w:val="30"/>
        </w:rPr>
        <w:t>政协湘西自治州委员会办公室为正厅级全额拨款（行政）单位。内设办公室（含秘书科、行政科、财务科、人事科、委员联络办、老干办六个科室）、提案委员会、经济科技联谊委员会、人口资源环境委员会、文教卫体委员会、民族宗教法制群团委员会、文史学习委员会、研究室、文史资料编辑部共九个职能部门。部门</w:t>
      </w:r>
      <w:r>
        <w:rPr>
          <w:rFonts w:hint="eastAsia" w:ascii="仿宋" w:hAnsi="仿宋" w:eastAsia="仿宋" w:cs="仿宋"/>
          <w:color w:val="auto"/>
          <w:sz w:val="30"/>
          <w:szCs w:val="30"/>
          <w:lang w:val="en-US" w:eastAsia="zh-CN"/>
        </w:rPr>
        <w:t>主要</w:t>
      </w:r>
      <w:r>
        <w:rPr>
          <w:rFonts w:hint="eastAsia" w:ascii="仿宋" w:hAnsi="仿宋" w:eastAsia="仿宋" w:cs="仿宋"/>
          <w:color w:val="auto"/>
          <w:sz w:val="30"/>
          <w:szCs w:val="30"/>
        </w:rPr>
        <w:t>职责</w:t>
      </w:r>
      <w:r>
        <w:rPr>
          <w:rFonts w:hint="eastAsia" w:ascii="仿宋" w:hAnsi="仿宋" w:eastAsia="仿宋" w:cs="仿宋"/>
          <w:color w:val="auto"/>
          <w:sz w:val="30"/>
          <w:szCs w:val="30"/>
          <w:lang w:val="en-US" w:eastAsia="zh-CN"/>
        </w:rPr>
        <w:t>如下</w:t>
      </w:r>
      <w:bookmarkEnd w:id="2"/>
      <w:r>
        <w:rPr>
          <w:rFonts w:hint="default" w:ascii="仿宋" w:hAnsi="仿宋" w:eastAsia="仿宋" w:cs="仿宋"/>
          <w:color w:val="auto"/>
          <w:sz w:val="30"/>
          <w:szCs w:val="30"/>
          <w:lang w:val="en-US" w:eastAsia="zh-CN"/>
        </w:rPr>
        <w:t>:</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lang w:eastAsia="zh-CN"/>
        </w:rPr>
        <w:t>政治协商。对国家大政方针和地方重要举措以及经济建设、政治建设、文化建设、社会建设和生态文明建设中的重要问题，在决策之前和决策实施中进行协商。</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 xml:space="preserve">民主监督。通过提出意见、批评、建议的方式，对国家宪法、法律和法规的实施及重大方针政策、重大改革举措、重要决策部署的贯彻执行情况，涉及人民群众切身利益的实问题解决落实情况，国家机关及其工作人员的工作等，进行协商式监督。 </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参政议政。参政议政是对政治、经济、文化、社会生活和生态环境等方面的重要问题以及人民群众普遍关心的问题，开展调查研究，反映社情民意，进行协商讨论。通过调研报告、提案、建议案或其他形式，向中国共产党和国家机关提出意见和建议。</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围绕州委、州政府中心工作，开展各种调研视察活动，为领导决策提供有力可靠的政策依据</w:t>
      </w:r>
      <w:r>
        <w:rPr>
          <w:rFonts w:hint="default" w:ascii="仿宋" w:hAnsi="仿宋" w:eastAsia="仿宋" w:cs="仿宋"/>
          <w:color w:val="auto"/>
          <w:sz w:val="30"/>
          <w:szCs w:val="30"/>
          <w:lang w:val="en-US"/>
        </w:rPr>
        <w:t>;</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进一步做好全州文史资料的收集、整理、编辑、出版工作</w:t>
      </w:r>
      <w:r>
        <w:rPr>
          <w:rFonts w:hint="default" w:ascii="仿宋" w:hAnsi="仿宋" w:eastAsia="仿宋" w:cs="仿宋"/>
          <w:color w:val="auto"/>
          <w:sz w:val="30"/>
          <w:szCs w:val="30"/>
          <w:lang w:val="en-US"/>
        </w:rPr>
        <w:t>;</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加强与兄弟政协组织的联系，进一步扩大政协在社会上的影响力</w:t>
      </w:r>
      <w:r>
        <w:rPr>
          <w:rFonts w:hint="default" w:ascii="仿宋" w:hAnsi="仿宋" w:eastAsia="仿宋" w:cs="仿宋"/>
          <w:color w:val="auto"/>
          <w:sz w:val="30"/>
          <w:szCs w:val="30"/>
          <w:lang w:val="en-US"/>
        </w:rPr>
        <w:t>;</w:t>
      </w:r>
    </w:p>
    <w:p>
      <w:pPr>
        <w:pStyle w:val="71"/>
        <w:numPr>
          <w:ilvl w:val="0"/>
          <w:numId w:val="1"/>
        </w:numPr>
        <w:spacing w:before="183" w:beforeLines="50" w:after="183" w:afterLines="50" w:line="540" w:lineRule="exact"/>
        <w:ind w:left="0"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承办省政协、州委、州政府交办的其他工作任务。</w:t>
      </w:r>
    </w:p>
    <w:p>
      <w:pPr>
        <w:pStyle w:val="71"/>
        <w:spacing w:before="183" w:beforeLines="50" w:after="183" w:afterLines="50" w:line="540" w:lineRule="exact"/>
        <w:ind w:firstLine="600"/>
        <w:rPr>
          <w:rFonts w:hint="eastAsia" w:ascii="仿宋" w:hAnsi="仿宋" w:eastAsia="仿宋" w:cs="仿宋"/>
          <w:color w:val="auto"/>
          <w:sz w:val="30"/>
          <w:szCs w:val="30"/>
        </w:rPr>
      </w:pPr>
      <w:r>
        <w:rPr>
          <w:rFonts w:hint="eastAsia" w:ascii="仿宋" w:hAnsi="仿宋" w:eastAsia="仿宋" w:cs="仿宋"/>
          <w:color w:val="auto"/>
          <w:sz w:val="30"/>
          <w:szCs w:val="30"/>
        </w:rPr>
        <w:t>截止202</w:t>
      </w: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年12月31日，政协湘西自治州委员会经州编委核定的编制人数</w:t>
      </w:r>
      <w:r>
        <w:rPr>
          <w:rFonts w:hint="eastAsia" w:ascii="仿宋" w:hAnsi="仿宋" w:eastAsia="仿宋" w:cs="仿宋"/>
          <w:color w:val="auto"/>
          <w:sz w:val="30"/>
          <w:szCs w:val="30"/>
          <w:lang w:val="en-US" w:eastAsia="zh-CN"/>
        </w:rPr>
        <w:t>61名</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其中行政编制39名，事业编制22名。年末</w:t>
      </w:r>
      <w:r>
        <w:rPr>
          <w:rFonts w:hint="eastAsia" w:ascii="仿宋" w:hAnsi="仿宋" w:eastAsia="仿宋" w:cs="仿宋"/>
          <w:color w:val="auto"/>
          <w:sz w:val="30"/>
          <w:szCs w:val="30"/>
        </w:rPr>
        <w:t>实际在职人数60人。</w:t>
      </w:r>
    </w:p>
    <w:p>
      <w:pPr>
        <w:numPr>
          <w:ilvl w:val="0"/>
          <w:numId w:val="0"/>
        </w:numPr>
        <w:spacing w:line="580" w:lineRule="exact"/>
        <w:ind w:firstLine="600" w:firstLineChars="200"/>
        <w:jc w:val="both"/>
        <w:rPr>
          <w:rFonts w:hint="eastAsia" w:ascii="仿宋" w:hAnsi="仿宋" w:eastAsia="仿宋" w:cs="仿宋"/>
          <w:bCs/>
          <w:color w:val="auto"/>
          <w:sz w:val="30"/>
          <w:szCs w:val="30"/>
        </w:rPr>
      </w:pPr>
      <w:r>
        <w:rPr>
          <w:rFonts w:hint="eastAsia" w:ascii="仿宋" w:hAnsi="仿宋" w:eastAsia="仿宋" w:cs="仿宋"/>
          <w:bCs/>
          <w:color w:val="auto"/>
          <w:sz w:val="30"/>
          <w:szCs w:val="30"/>
          <w:lang w:eastAsia="zh-CN"/>
        </w:rPr>
        <w:t>（</w:t>
      </w:r>
      <w:r>
        <w:rPr>
          <w:rFonts w:hint="eastAsia" w:ascii="仿宋" w:hAnsi="仿宋" w:eastAsia="仿宋" w:cs="仿宋"/>
          <w:bCs/>
          <w:color w:val="auto"/>
          <w:sz w:val="30"/>
          <w:szCs w:val="30"/>
          <w:lang w:val="en-US" w:eastAsia="zh-CN"/>
        </w:rPr>
        <w:t>二</w:t>
      </w:r>
      <w:r>
        <w:rPr>
          <w:rFonts w:hint="eastAsia" w:ascii="仿宋" w:hAnsi="仿宋" w:eastAsia="仿宋" w:cs="仿宋"/>
          <w:bCs/>
          <w:color w:val="auto"/>
          <w:sz w:val="30"/>
          <w:szCs w:val="30"/>
          <w:lang w:eastAsia="zh-CN"/>
        </w:rPr>
        <w:t>）</w:t>
      </w:r>
      <w:r>
        <w:rPr>
          <w:rFonts w:hint="eastAsia" w:ascii="仿宋" w:hAnsi="仿宋" w:eastAsia="仿宋" w:cs="仿宋"/>
          <w:bCs/>
          <w:color w:val="auto"/>
          <w:sz w:val="30"/>
          <w:szCs w:val="30"/>
        </w:rPr>
        <w:t>单位年度整体支出绩效目标</w:t>
      </w:r>
    </w:p>
    <w:p>
      <w:pPr>
        <w:numPr>
          <w:ilvl w:val="0"/>
          <w:numId w:val="0"/>
        </w:numPr>
        <w:spacing w:line="580" w:lineRule="exact"/>
        <w:ind w:firstLine="600" w:firstLineChars="200"/>
        <w:jc w:val="both"/>
        <w:rPr>
          <w:rFonts w:hint="eastAsia" w:ascii="仿宋" w:hAnsi="仿宋" w:eastAsia="仿宋" w:cs="仿宋"/>
          <w:bCs/>
          <w:color w:val="auto"/>
          <w:sz w:val="30"/>
          <w:szCs w:val="30"/>
        </w:rPr>
      </w:pPr>
      <w:r>
        <w:rPr>
          <w:rFonts w:hint="eastAsia" w:ascii="仿宋" w:hAnsi="仿宋" w:eastAsia="仿宋" w:cs="仿宋"/>
          <w:bCs/>
          <w:color w:val="auto"/>
          <w:sz w:val="30"/>
          <w:szCs w:val="30"/>
          <w:lang w:val="en-US" w:eastAsia="zh-CN"/>
        </w:rPr>
        <w:t>2021年，州政协对全州经济、社会、民生等建设领域及社会热点、难点问题，组织政协委员调研、视察，最终形成专题调研视察报告，向州委、州政府领导决策建言献策。发挥委员自身优势，为我州精准扶贫、经济发展等各项建设舔砖加瓦。通过政协全会等各种会议，凝聚人心，使政协三大职能得以认真履行。利用《社情民意》等多媒体宣传手段，宣传我州政协工作和我州新面貌、新气象。</w:t>
      </w:r>
    </w:p>
    <w:p>
      <w:pPr>
        <w:pStyle w:val="71"/>
        <w:widowControl/>
        <w:numPr>
          <w:ilvl w:val="0"/>
          <w:numId w:val="2"/>
        </w:numPr>
        <w:spacing w:before="183" w:beforeLines="50" w:after="183" w:afterLines="50" w:line="540" w:lineRule="exact"/>
        <w:ind w:left="0" w:leftChars="0" w:firstLine="641" w:firstLineChars="213"/>
        <w:rPr>
          <w:rFonts w:hint="eastAsia" w:ascii="仿宋" w:hAnsi="仿宋" w:eastAsia="仿宋" w:cs="仿宋"/>
          <w:b/>
          <w:bCs/>
          <w:color w:val="auto"/>
          <w:sz w:val="30"/>
          <w:szCs w:val="30"/>
        </w:rPr>
      </w:pPr>
      <w:r>
        <w:rPr>
          <w:rFonts w:hint="eastAsia" w:ascii="仿宋" w:hAnsi="仿宋" w:eastAsia="仿宋" w:cs="仿宋"/>
          <w:b/>
          <w:bCs/>
          <w:color w:val="auto"/>
          <w:sz w:val="30"/>
          <w:szCs w:val="30"/>
        </w:rPr>
        <w:t>一般公共预算支出情况</w:t>
      </w:r>
    </w:p>
    <w:p>
      <w:pPr>
        <w:pStyle w:val="71"/>
        <w:widowControl/>
        <w:spacing w:line="54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 2021年本单位一般公共财政拨款收入合计2474.50万元，较2020年收入2021.40万元，增加453.10万元，增长22.42%。</w:t>
      </w:r>
    </w:p>
    <w:p>
      <w:pPr>
        <w:pStyle w:val="71"/>
        <w:widowControl/>
        <w:spacing w:line="54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2021年本单位一般公共财政拨款支出合计2468.46万元，其中：一般公共服务支出1890.25万元、科学技术支出11.10万元、社会保障和就业支出173.30万元、卫生健康支出36.17万元、住房保障支出62.01万元、其他支出295.63万元。 </w:t>
      </w:r>
    </w:p>
    <w:p>
      <w:pPr>
        <w:pStyle w:val="71"/>
        <w:widowControl/>
        <w:spacing w:line="54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年末结转及结余2.97万元，为项目支出结转和结余2.97万元。</w:t>
      </w:r>
    </w:p>
    <w:p>
      <w:pPr>
        <w:pStyle w:val="71"/>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600"/>
        <w:textAlignment w:val="auto"/>
        <w:rPr>
          <w:rFonts w:hint="eastAsia" w:ascii="仿宋" w:hAnsi="仿宋" w:eastAsia="仿宋" w:cs="仿宋"/>
          <w:b/>
          <w:bCs/>
          <w:color w:val="auto"/>
          <w:sz w:val="30"/>
          <w:szCs w:val="30"/>
        </w:rPr>
      </w:pP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lang w:val="en-US" w:eastAsia="zh-CN"/>
        </w:rPr>
        <w:t>一</w:t>
      </w: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rPr>
        <w:t>基本支出情况</w:t>
      </w:r>
    </w:p>
    <w:p>
      <w:pPr>
        <w:pStyle w:val="71"/>
        <w:widowControl/>
        <w:spacing w:line="54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本年基本支出合1605.11万元，其中人员支出1369.57万元，公用经费支出235.54万元。本部门支出均按财政部门要求进行使用和管理，并呈逐年减少的趋势。</w:t>
      </w:r>
    </w:p>
    <w:p>
      <w:pPr>
        <w:pStyle w:val="71"/>
        <w:widowControl/>
        <w:spacing w:line="54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2021年基本支出合计1605.11万元，较2020年基本支出1377.68万元，增加227.43万元。</w:t>
      </w:r>
    </w:p>
    <w:tbl>
      <w:tblPr>
        <w:tblStyle w:val="24"/>
        <w:tblpPr w:leftFromText="180" w:rightFromText="180" w:vertAnchor="text" w:tblpXSpec="center" w:tblpY="1"/>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1"/>
        <w:gridCol w:w="2835"/>
        <w:gridCol w:w="1984"/>
        <w:gridCol w:w="184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序号</w:t>
            </w:r>
          </w:p>
        </w:tc>
        <w:tc>
          <w:tcPr>
            <w:tcW w:w="2835" w:type="dxa"/>
            <w:shd w:val="clear" w:color="auto" w:fill="FFFFFF"/>
            <w:vAlign w:val="cente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项</w:t>
            </w:r>
            <w:r>
              <w:rPr>
                <w:rFonts w:hint="eastAsia" w:ascii="仿宋" w:hAnsi="仿宋" w:eastAsia="仿宋" w:cs="仿宋"/>
                <w:b/>
                <w:color w:val="auto"/>
                <w:sz w:val="21"/>
                <w:szCs w:val="21"/>
                <w:lang w:val="en-US" w:eastAsia="zh-CN" w:bidi="ar"/>
              </w:rPr>
              <w:t xml:space="preserve">  </w:t>
            </w:r>
            <w:r>
              <w:rPr>
                <w:rFonts w:hint="eastAsia" w:ascii="仿宋" w:hAnsi="仿宋" w:eastAsia="仿宋" w:cs="仿宋"/>
                <w:b/>
                <w:color w:val="auto"/>
                <w:sz w:val="21"/>
                <w:szCs w:val="21"/>
                <w:lang w:bidi="ar"/>
              </w:rPr>
              <w:t>目</w:t>
            </w:r>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20</w:t>
            </w:r>
            <w:r>
              <w:rPr>
                <w:rFonts w:hint="eastAsia" w:ascii="仿宋" w:hAnsi="仿宋" w:eastAsia="仿宋" w:cs="仿宋"/>
                <w:b/>
                <w:color w:val="auto"/>
                <w:sz w:val="21"/>
                <w:szCs w:val="21"/>
                <w:lang w:val="en-US" w:eastAsia="zh-CN" w:bidi="ar"/>
              </w:rPr>
              <w:t>21</w:t>
            </w:r>
            <w:r>
              <w:rPr>
                <w:rFonts w:hint="eastAsia" w:ascii="仿宋" w:hAnsi="仿宋" w:eastAsia="仿宋" w:cs="仿宋"/>
                <w:b/>
                <w:color w:val="auto"/>
                <w:sz w:val="21"/>
                <w:szCs w:val="21"/>
                <w:lang w:bidi="ar"/>
              </w:rPr>
              <w:t>年基本支出（万元）</w:t>
            </w:r>
          </w:p>
        </w:tc>
        <w:tc>
          <w:tcPr>
            <w:tcW w:w="1844" w:type="dxa"/>
            <w:shd w:val="clear" w:color="auto" w:fill="FFFFFF"/>
            <w:vAlign w:val="center"/>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20</w:t>
            </w:r>
            <w:r>
              <w:rPr>
                <w:rFonts w:hint="eastAsia" w:ascii="仿宋" w:hAnsi="仿宋" w:eastAsia="仿宋" w:cs="仿宋"/>
                <w:b/>
                <w:color w:val="auto"/>
                <w:sz w:val="21"/>
                <w:szCs w:val="21"/>
                <w:lang w:val="en-US" w:eastAsia="zh-CN" w:bidi="ar"/>
              </w:rPr>
              <w:t>20</w:t>
            </w:r>
            <w:r>
              <w:rPr>
                <w:rFonts w:hint="eastAsia" w:ascii="仿宋" w:hAnsi="仿宋" w:eastAsia="仿宋" w:cs="仿宋"/>
                <w:b/>
                <w:color w:val="auto"/>
                <w:sz w:val="21"/>
                <w:szCs w:val="21"/>
                <w:lang w:bidi="ar"/>
              </w:rPr>
              <w:t>年基本支出（万元）</w:t>
            </w:r>
          </w:p>
        </w:tc>
        <w:tc>
          <w:tcPr>
            <w:tcW w:w="1417" w:type="dxa"/>
            <w:shd w:val="clear" w:color="auto" w:fill="FFFFFF"/>
            <w:vAlign w:val="center"/>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lang w:val="en-US" w:eastAsia="zh-CN" w:bidi="ar"/>
              </w:rPr>
            </w:pPr>
            <w:r>
              <w:rPr>
                <w:rFonts w:hint="eastAsia" w:ascii="仿宋" w:hAnsi="仿宋" w:eastAsia="仿宋" w:cs="仿宋"/>
                <w:b/>
                <w:color w:val="auto"/>
                <w:sz w:val="21"/>
                <w:szCs w:val="21"/>
                <w:lang w:val="en-US" w:eastAsia="zh-CN" w:bidi="ar"/>
              </w:rPr>
              <w:t>增加额</w:t>
            </w:r>
          </w:p>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2835" w:type="dxa"/>
            <w:shd w:val="clear" w:color="auto" w:fill="FFFFFF"/>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工资福利支出</w:t>
            </w:r>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839.00</w:t>
            </w:r>
          </w:p>
        </w:tc>
        <w:tc>
          <w:tcPr>
            <w:tcW w:w="1844"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915.58</w:t>
            </w:r>
          </w:p>
        </w:tc>
        <w:tc>
          <w:tcPr>
            <w:tcW w:w="1417"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-76.58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2835" w:type="dxa"/>
            <w:shd w:val="clear" w:color="auto" w:fill="FFFFFF"/>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商品服务支出</w:t>
            </w:r>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235.54</w:t>
            </w:r>
          </w:p>
        </w:tc>
        <w:tc>
          <w:tcPr>
            <w:tcW w:w="1844"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84.83</w:t>
            </w:r>
          </w:p>
        </w:tc>
        <w:tc>
          <w:tcPr>
            <w:tcW w:w="1417"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150.71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2835" w:type="dxa"/>
            <w:shd w:val="clear" w:color="auto" w:fill="FFFFFF"/>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对个人与家庭补助支出</w:t>
            </w:r>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530.57</w:t>
            </w:r>
          </w:p>
        </w:tc>
        <w:tc>
          <w:tcPr>
            <w:tcW w:w="1844"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374.87</w:t>
            </w:r>
          </w:p>
        </w:tc>
        <w:tc>
          <w:tcPr>
            <w:tcW w:w="1417"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2835" w:type="dxa"/>
            <w:shd w:val="clear" w:color="auto" w:fill="FFFFFF"/>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4"/>
                <w:szCs w:val="24"/>
              </w:rPr>
            </w:pPr>
            <w:bookmarkStart w:id="3" w:name="_Hlk41158737"/>
            <w:r>
              <w:rPr>
                <w:rFonts w:hint="eastAsia" w:ascii="仿宋" w:hAnsi="仿宋" w:eastAsia="仿宋" w:cs="仿宋"/>
                <w:color w:val="auto"/>
                <w:sz w:val="24"/>
                <w:szCs w:val="24"/>
              </w:rPr>
              <w:t>资本性支出</w:t>
            </w:r>
            <w:bookmarkEnd w:id="3"/>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w:t>
            </w:r>
          </w:p>
        </w:tc>
        <w:tc>
          <w:tcPr>
            <w:tcW w:w="1844"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2.40</w:t>
            </w:r>
          </w:p>
        </w:tc>
        <w:tc>
          <w:tcPr>
            <w:tcW w:w="1417"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5</w:t>
            </w:r>
          </w:p>
        </w:tc>
        <w:tc>
          <w:tcPr>
            <w:tcW w:w="2835" w:type="dxa"/>
            <w:shd w:val="clear" w:color="auto" w:fill="FFFFFF"/>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合    计</w:t>
            </w:r>
          </w:p>
        </w:tc>
        <w:tc>
          <w:tcPr>
            <w:tcW w:w="1984" w:type="dxa"/>
            <w:shd w:val="clear" w:color="auto" w:fill="FFFFFF"/>
            <w:tcMar>
              <w:left w:w="108" w:type="dxa"/>
              <w:right w:w="108" w:type="dxa"/>
            </w:tcMar>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1"/>
                <w:szCs w:val="21"/>
                <w:lang w:val="en-US" w:eastAsia="zh-CN"/>
              </w:rPr>
            </w:pPr>
            <w:r>
              <w:rPr>
                <w:rFonts w:hint="eastAsia" w:ascii="仿宋" w:hAnsi="仿宋" w:eastAsia="仿宋" w:cs="仿宋"/>
                <w:b/>
                <w:bCs/>
                <w:color w:val="auto"/>
                <w:sz w:val="21"/>
                <w:szCs w:val="21"/>
                <w:lang w:val="en-US" w:eastAsia="zh-CN"/>
              </w:rPr>
              <w:t>1605.11</w:t>
            </w:r>
          </w:p>
        </w:tc>
        <w:tc>
          <w:tcPr>
            <w:tcW w:w="1844"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1377.68</w:t>
            </w:r>
          </w:p>
        </w:tc>
        <w:tc>
          <w:tcPr>
            <w:tcW w:w="1417" w:type="dxa"/>
            <w:shd w:val="clear" w:color="auto" w:fill="FFFFFF"/>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227.42</w:t>
            </w:r>
          </w:p>
        </w:tc>
      </w:tr>
    </w:tbl>
    <w:p>
      <w:pPr>
        <w:pStyle w:val="71"/>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600"/>
        <w:textAlignment w:val="auto"/>
        <w:rPr>
          <w:rFonts w:hint="eastAsia" w:ascii="仿宋" w:hAnsi="仿宋" w:eastAsia="仿宋" w:cs="仿宋"/>
          <w:b/>
          <w:bCs/>
          <w:color w:val="auto"/>
          <w:sz w:val="30"/>
          <w:szCs w:val="30"/>
        </w:rPr>
      </w:pP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lang w:val="en-US" w:eastAsia="zh-CN"/>
        </w:rPr>
        <w:t>二</w:t>
      </w: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rPr>
        <w:t>项目支出情况</w:t>
      </w:r>
    </w:p>
    <w:p>
      <w:pPr>
        <w:spacing w:after="0" w:line="580" w:lineRule="exact"/>
        <w:ind w:firstLine="646"/>
        <w:jc w:val="both"/>
        <w:rPr>
          <w:rFonts w:hint="eastAsia" w:ascii="仿宋" w:hAnsi="仿宋" w:eastAsia="仿宋" w:cs="仿宋"/>
          <w:color w:val="auto"/>
          <w:kern w:val="2"/>
          <w:sz w:val="30"/>
          <w:szCs w:val="30"/>
        </w:rPr>
      </w:pPr>
      <w:r>
        <w:rPr>
          <w:rFonts w:hint="eastAsia" w:ascii="仿宋" w:hAnsi="仿宋" w:eastAsia="仿宋" w:cs="仿宋"/>
          <w:color w:val="auto"/>
          <w:kern w:val="2"/>
          <w:sz w:val="30"/>
          <w:szCs w:val="30"/>
          <w:lang w:val="en-US" w:eastAsia="zh-CN"/>
        </w:rPr>
        <w:t>202</w:t>
      </w:r>
      <w:r>
        <w:rPr>
          <w:rFonts w:hint="default" w:ascii="仿宋" w:hAnsi="仿宋" w:eastAsia="仿宋" w:cs="仿宋"/>
          <w:color w:val="auto"/>
          <w:kern w:val="2"/>
          <w:sz w:val="30"/>
          <w:szCs w:val="30"/>
          <w:lang w:val="en-US" w:eastAsia="zh-CN"/>
        </w:rPr>
        <w:t>1</w:t>
      </w:r>
      <w:r>
        <w:rPr>
          <w:rFonts w:hint="eastAsia" w:ascii="仿宋" w:hAnsi="仿宋" w:eastAsia="仿宋" w:cs="仿宋"/>
          <w:color w:val="auto"/>
          <w:kern w:val="2"/>
          <w:sz w:val="30"/>
          <w:szCs w:val="30"/>
        </w:rPr>
        <w:t>年</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rPr>
        <w:t>本部门本级专项资金项目支出</w:t>
      </w:r>
      <w:r>
        <w:rPr>
          <w:rFonts w:hint="default" w:ascii="仿宋" w:hAnsi="仿宋" w:eastAsia="仿宋" w:cs="仿宋"/>
          <w:color w:val="auto"/>
          <w:kern w:val="2"/>
          <w:sz w:val="30"/>
          <w:szCs w:val="30"/>
          <w:lang w:val="en-US" w:eastAsia="zh-CN"/>
        </w:rPr>
        <w:t>870.71</w:t>
      </w:r>
      <w:r>
        <w:rPr>
          <w:rFonts w:hint="eastAsia" w:ascii="仿宋" w:hAnsi="仿宋" w:eastAsia="仿宋" w:cs="仿宋"/>
          <w:color w:val="auto"/>
          <w:kern w:val="2"/>
          <w:sz w:val="30"/>
          <w:szCs w:val="30"/>
        </w:rPr>
        <w:t>万元，比20</w:t>
      </w:r>
      <w:r>
        <w:rPr>
          <w:rFonts w:hint="default" w:ascii="仿宋" w:hAnsi="仿宋" w:eastAsia="仿宋" w:cs="仿宋"/>
          <w:color w:val="auto"/>
          <w:kern w:val="2"/>
          <w:sz w:val="30"/>
          <w:szCs w:val="30"/>
          <w:lang w:val="en-US" w:eastAsia="zh-CN"/>
        </w:rPr>
        <w:t>20</w:t>
      </w:r>
      <w:r>
        <w:rPr>
          <w:rFonts w:hint="eastAsia" w:ascii="仿宋" w:hAnsi="仿宋" w:eastAsia="仿宋" w:cs="仿宋"/>
          <w:color w:val="auto"/>
          <w:kern w:val="2"/>
          <w:sz w:val="30"/>
          <w:szCs w:val="30"/>
        </w:rPr>
        <w:t>年项目支出</w:t>
      </w:r>
      <w:r>
        <w:rPr>
          <w:rFonts w:hint="default" w:ascii="仿宋" w:hAnsi="仿宋" w:eastAsia="仿宋" w:cs="仿宋"/>
          <w:color w:val="auto"/>
          <w:kern w:val="2"/>
          <w:sz w:val="30"/>
          <w:szCs w:val="30"/>
          <w:lang w:val="en-US"/>
        </w:rPr>
        <w:t>670.43</w:t>
      </w:r>
      <w:r>
        <w:rPr>
          <w:rFonts w:hint="eastAsia" w:ascii="仿宋" w:hAnsi="仿宋" w:eastAsia="仿宋" w:cs="仿宋"/>
          <w:color w:val="auto"/>
          <w:kern w:val="2"/>
          <w:sz w:val="30"/>
          <w:szCs w:val="30"/>
        </w:rPr>
        <w:t>万元</w:t>
      </w:r>
      <w:r>
        <w:rPr>
          <w:rFonts w:hint="eastAsia" w:ascii="仿宋" w:hAnsi="仿宋" w:eastAsia="仿宋" w:cs="仿宋"/>
          <w:color w:val="auto"/>
          <w:kern w:val="2"/>
          <w:sz w:val="30"/>
          <w:szCs w:val="30"/>
          <w:lang w:val="en-US" w:eastAsia="zh-CN"/>
        </w:rPr>
        <w:t>增加200.28</w:t>
      </w:r>
      <w:r>
        <w:rPr>
          <w:rFonts w:hint="eastAsia" w:ascii="仿宋" w:hAnsi="仿宋" w:eastAsia="仿宋" w:cs="仿宋"/>
          <w:color w:val="auto"/>
          <w:kern w:val="2"/>
          <w:sz w:val="30"/>
          <w:szCs w:val="30"/>
        </w:rPr>
        <w:t>万元，</w:t>
      </w:r>
      <w:r>
        <w:rPr>
          <w:rFonts w:hint="eastAsia" w:ascii="仿宋" w:hAnsi="仿宋" w:eastAsia="仿宋" w:cs="仿宋"/>
          <w:color w:val="auto"/>
          <w:kern w:val="2"/>
          <w:sz w:val="30"/>
          <w:szCs w:val="30"/>
          <w:lang w:val="en-US" w:eastAsia="zh-CN"/>
        </w:rPr>
        <w:t>增幅29.87</w:t>
      </w:r>
      <w:r>
        <w:rPr>
          <w:rFonts w:hint="eastAsia" w:ascii="仿宋" w:hAnsi="仿宋" w:eastAsia="仿宋" w:cs="仿宋"/>
          <w:color w:val="auto"/>
          <w:kern w:val="2"/>
          <w:sz w:val="30"/>
          <w:szCs w:val="30"/>
        </w:rPr>
        <w:t>%；本年项目支出主要用于：一般公共服务支出</w:t>
      </w:r>
      <w:r>
        <w:rPr>
          <w:rFonts w:hint="eastAsia" w:ascii="仿宋" w:hAnsi="仿宋" w:eastAsia="仿宋" w:cs="仿宋"/>
          <w:color w:val="auto"/>
          <w:kern w:val="2"/>
          <w:sz w:val="30"/>
          <w:szCs w:val="30"/>
          <w:lang w:val="en-US" w:eastAsia="zh-CN"/>
        </w:rPr>
        <w:t>842.93</w:t>
      </w:r>
      <w:r>
        <w:rPr>
          <w:rFonts w:hint="eastAsia" w:ascii="仿宋" w:hAnsi="仿宋" w:eastAsia="仿宋" w:cs="仿宋"/>
          <w:color w:val="auto"/>
          <w:kern w:val="2"/>
          <w:sz w:val="30"/>
          <w:szCs w:val="30"/>
        </w:rPr>
        <w:t>万元，社会保障和就业支出</w:t>
      </w:r>
      <w:r>
        <w:rPr>
          <w:rFonts w:hint="eastAsia" w:ascii="仿宋" w:hAnsi="仿宋" w:eastAsia="仿宋" w:cs="仿宋"/>
          <w:color w:val="auto"/>
          <w:kern w:val="2"/>
          <w:sz w:val="30"/>
          <w:szCs w:val="30"/>
          <w:lang w:val="en-US" w:eastAsia="zh-CN"/>
        </w:rPr>
        <w:t>9.80</w:t>
      </w:r>
      <w:r>
        <w:rPr>
          <w:rFonts w:hint="eastAsia" w:ascii="仿宋" w:hAnsi="仿宋" w:eastAsia="仿宋" w:cs="仿宋"/>
          <w:color w:val="auto"/>
          <w:kern w:val="2"/>
          <w:sz w:val="30"/>
          <w:szCs w:val="30"/>
        </w:rPr>
        <w:t>万元</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其他支出17.98万元</w:t>
      </w:r>
      <w:r>
        <w:rPr>
          <w:rFonts w:hint="eastAsia" w:ascii="仿宋" w:hAnsi="仿宋" w:eastAsia="仿宋" w:cs="仿宋"/>
          <w:color w:val="auto"/>
          <w:kern w:val="2"/>
          <w:sz w:val="30"/>
          <w:szCs w:val="30"/>
        </w:rPr>
        <w:t>。</w:t>
      </w:r>
    </w:p>
    <w:p>
      <w:pPr>
        <w:spacing w:after="0" w:line="580" w:lineRule="exact"/>
        <w:ind w:firstLine="646"/>
        <w:jc w:val="both"/>
        <w:rPr>
          <w:rFonts w:hint="eastAsia" w:ascii="仿宋" w:hAnsi="仿宋" w:eastAsia="仿宋" w:cs="仿宋"/>
          <w:color w:val="auto"/>
          <w:kern w:val="2"/>
          <w:sz w:val="30"/>
          <w:szCs w:val="30"/>
        </w:rPr>
      </w:pPr>
      <w:r>
        <w:rPr>
          <w:rFonts w:hint="eastAsia" w:ascii="仿宋" w:hAnsi="仿宋" w:eastAsia="仿宋" w:cs="仿宋"/>
          <w:color w:val="auto"/>
          <w:kern w:val="2"/>
          <w:sz w:val="30"/>
          <w:szCs w:val="30"/>
        </w:rPr>
        <w:t>本年项目支出全部</w:t>
      </w:r>
      <w:r>
        <w:rPr>
          <w:rFonts w:hint="eastAsia" w:ascii="仿宋" w:hAnsi="仿宋" w:eastAsia="仿宋" w:cs="仿宋"/>
          <w:color w:val="auto"/>
          <w:kern w:val="2"/>
          <w:sz w:val="30"/>
          <w:szCs w:val="30"/>
          <w:lang w:val="en-US" w:eastAsia="zh-CN"/>
        </w:rPr>
        <w:t>为</w:t>
      </w:r>
      <w:r>
        <w:rPr>
          <w:rFonts w:hint="eastAsia" w:ascii="仿宋" w:hAnsi="仿宋" w:eastAsia="仿宋" w:cs="仿宋"/>
          <w:color w:val="auto"/>
          <w:kern w:val="2"/>
          <w:sz w:val="30"/>
          <w:szCs w:val="30"/>
        </w:rPr>
        <w:t>非基建项目，其中</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1</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rPr>
        <w:t>一般公共服务支出总计</w:t>
      </w:r>
      <w:r>
        <w:rPr>
          <w:rFonts w:hint="eastAsia" w:ascii="仿宋" w:hAnsi="仿宋" w:eastAsia="仿宋" w:cs="仿宋"/>
          <w:color w:val="auto"/>
          <w:kern w:val="2"/>
          <w:sz w:val="30"/>
          <w:szCs w:val="30"/>
          <w:lang w:val="en-US" w:eastAsia="zh-CN"/>
        </w:rPr>
        <w:t>842.93</w:t>
      </w:r>
      <w:r>
        <w:rPr>
          <w:rFonts w:hint="eastAsia" w:ascii="仿宋" w:hAnsi="仿宋" w:eastAsia="仿宋" w:cs="仿宋"/>
          <w:color w:val="auto"/>
          <w:kern w:val="2"/>
          <w:sz w:val="30"/>
          <w:szCs w:val="30"/>
        </w:rPr>
        <w:t>万元，包括委员视察</w:t>
      </w:r>
      <w:r>
        <w:rPr>
          <w:rFonts w:hint="eastAsia" w:ascii="仿宋" w:hAnsi="仿宋" w:eastAsia="仿宋" w:cs="仿宋"/>
          <w:color w:val="auto"/>
          <w:kern w:val="2"/>
          <w:sz w:val="30"/>
          <w:szCs w:val="30"/>
          <w:lang w:val="en-US" w:eastAsia="zh-CN"/>
        </w:rPr>
        <w:t>支出240.95</w:t>
      </w:r>
      <w:r>
        <w:rPr>
          <w:rFonts w:hint="eastAsia" w:ascii="仿宋" w:hAnsi="仿宋" w:eastAsia="仿宋" w:cs="仿宋"/>
          <w:color w:val="auto"/>
          <w:kern w:val="2"/>
          <w:sz w:val="30"/>
          <w:szCs w:val="30"/>
        </w:rPr>
        <w:t>万元，其他政协</w:t>
      </w:r>
      <w:r>
        <w:rPr>
          <w:rFonts w:hint="eastAsia" w:ascii="仿宋" w:hAnsi="仿宋" w:eastAsia="仿宋" w:cs="仿宋"/>
          <w:color w:val="auto"/>
          <w:kern w:val="2"/>
          <w:sz w:val="30"/>
          <w:szCs w:val="30"/>
          <w:lang w:val="en-US" w:eastAsia="zh-CN"/>
        </w:rPr>
        <w:t>事务453.65</w:t>
      </w:r>
      <w:r>
        <w:rPr>
          <w:rFonts w:hint="eastAsia" w:ascii="仿宋" w:hAnsi="仿宋" w:eastAsia="仿宋" w:cs="仿宋"/>
          <w:color w:val="auto"/>
          <w:kern w:val="2"/>
          <w:sz w:val="30"/>
          <w:szCs w:val="30"/>
        </w:rPr>
        <w:t>万元，</w:t>
      </w:r>
      <w:r>
        <w:rPr>
          <w:rFonts w:hint="eastAsia" w:ascii="仿宋" w:hAnsi="仿宋" w:eastAsia="仿宋" w:cs="仿宋"/>
          <w:color w:val="auto"/>
          <w:kern w:val="2"/>
          <w:sz w:val="30"/>
          <w:szCs w:val="30"/>
          <w:lang w:val="en-US" w:eastAsia="zh-CN"/>
        </w:rPr>
        <w:t>民族事务支出9.80万元</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2</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行政事业单位养老支出9.8</w:t>
      </w:r>
      <w:r>
        <w:rPr>
          <w:rFonts w:hint="eastAsia" w:ascii="仿宋" w:hAnsi="仿宋" w:eastAsia="仿宋" w:cs="仿宋"/>
          <w:color w:val="auto"/>
          <w:kern w:val="2"/>
          <w:sz w:val="30"/>
          <w:szCs w:val="30"/>
        </w:rPr>
        <w:t>万元</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3</w:t>
      </w:r>
      <w:r>
        <w:rPr>
          <w:rFonts w:hint="eastAsia" w:ascii="仿宋" w:hAnsi="仿宋" w:eastAsia="仿宋" w:cs="仿宋"/>
          <w:color w:val="auto"/>
          <w:kern w:val="2"/>
          <w:sz w:val="30"/>
          <w:szCs w:val="30"/>
          <w:lang w:eastAsia="zh-CN"/>
        </w:rPr>
        <w:t>）</w:t>
      </w:r>
      <w:r>
        <w:rPr>
          <w:rFonts w:hint="eastAsia" w:ascii="仿宋" w:hAnsi="仿宋" w:eastAsia="仿宋" w:cs="仿宋"/>
          <w:color w:val="auto"/>
          <w:kern w:val="2"/>
          <w:sz w:val="30"/>
          <w:szCs w:val="30"/>
          <w:lang w:val="en-US" w:eastAsia="zh-CN"/>
        </w:rPr>
        <w:t>其他支出17.98万元。</w:t>
      </w:r>
      <w:r>
        <w:rPr>
          <w:rFonts w:hint="eastAsia" w:ascii="仿宋" w:hAnsi="仿宋" w:eastAsia="仿宋" w:cs="仿宋"/>
          <w:color w:val="auto"/>
          <w:kern w:val="2"/>
          <w:sz w:val="30"/>
          <w:szCs w:val="30"/>
        </w:rPr>
        <w:t>项目支出明细如下：</w:t>
      </w:r>
    </w:p>
    <w:tbl>
      <w:tblPr>
        <w:tblStyle w:val="24"/>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2268"/>
        <w:gridCol w:w="1985"/>
        <w:gridCol w:w="1989"/>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317" w:leftChars="-151" w:right="0" w:firstLine="251" w:firstLineChars="119"/>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序号</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项</w:t>
            </w:r>
            <w:r>
              <w:rPr>
                <w:rFonts w:hint="eastAsia" w:ascii="仿宋" w:hAnsi="仿宋" w:eastAsia="仿宋" w:cs="仿宋"/>
                <w:b/>
                <w:color w:val="auto"/>
                <w:sz w:val="21"/>
                <w:szCs w:val="21"/>
                <w:lang w:val="en-US" w:eastAsia="zh-CN" w:bidi="ar"/>
              </w:rPr>
              <w:t xml:space="preserve"> </w:t>
            </w:r>
            <w:r>
              <w:rPr>
                <w:rFonts w:hint="eastAsia" w:ascii="仿宋" w:hAnsi="仿宋" w:eastAsia="仿宋" w:cs="仿宋"/>
                <w:b/>
                <w:color w:val="auto"/>
                <w:sz w:val="21"/>
                <w:szCs w:val="21"/>
                <w:lang w:bidi="ar"/>
              </w:rPr>
              <w:t>目</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1"/>
                <w:szCs w:val="21"/>
                <w:lang w:bidi="ar"/>
              </w:rPr>
            </w:pPr>
            <w:r>
              <w:rPr>
                <w:rFonts w:hint="eastAsia" w:ascii="仿宋" w:hAnsi="仿宋" w:eastAsia="仿宋" w:cs="仿宋"/>
                <w:b/>
                <w:color w:val="auto"/>
                <w:sz w:val="21"/>
                <w:szCs w:val="21"/>
                <w:lang w:bidi="ar"/>
              </w:rPr>
              <w:t>20</w:t>
            </w:r>
            <w:r>
              <w:rPr>
                <w:rFonts w:hint="eastAsia" w:ascii="仿宋" w:hAnsi="仿宋" w:eastAsia="仿宋" w:cs="仿宋"/>
                <w:b/>
                <w:color w:val="auto"/>
                <w:sz w:val="21"/>
                <w:szCs w:val="21"/>
                <w:lang w:val="en-US" w:eastAsia="zh-CN" w:bidi="ar"/>
              </w:rPr>
              <w:t>2</w:t>
            </w:r>
            <w:r>
              <w:rPr>
                <w:rFonts w:hint="default" w:ascii="仿宋" w:hAnsi="仿宋" w:eastAsia="仿宋" w:cs="仿宋"/>
                <w:b/>
                <w:color w:val="auto"/>
                <w:sz w:val="21"/>
                <w:szCs w:val="21"/>
                <w:lang w:val="en-US" w:eastAsia="zh-CN" w:bidi="ar"/>
              </w:rPr>
              <w:t>1</w:t>
            </w:r>
            <w:r>
              <w:rPr>
                <w:rFonts w:hint="eastAsia" w:ascii="仿宋" w:hAnsi="仿宋" w:eastAsia="仿宋" w:cs="仿宋"/>
                <w:b/>
                <w:color w:val="auto"/>
                <w:sz w:val="21"/>
                <w:szCs w:val="21"/>
                <w:lang w:bidi="ar"/>
              </w:rPr>
              <w:t>年项目支出（万元）</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lang w:bidi="ar"/>
              </w:rPr>
            </w:pPr>
            <w:r>
              <w:rPr>
                <w:rFonts w:hint="eastAsia" w:ascii="仿宋" w:hAnsi="仿宋" w:eastAsia="仿宋" w:cs="仿宋"/>
                <w:b/>
                <w:color w:val="auto"/>
                <w:sz w:val="21"/>
                <w:szCs w:val="21"/>
                <w:lang w:bidi="ar"/>
              </w:rPr>
              <w:t>20</w:t>
            </w:r>
            <w:r>
              <w:rPr>
                <w:rFonts w:hint="eastAsia" w:ascii="仿宋" w:hAnsi="仿宋" w:eastAsia="仿宋" w:cs="仿宋"/>
                <w:b/>
                <w:color w:val="auto"/>
                <w:sz w:val="21"/>
                <w:szCs w:val="21"/>
                <w:lang w:val="en-US" w:eastAsia="zh-CN" w:bidi="ar"/>
              </w:rPr>
              <w:t>20</w:t>
            </w:r>
            <w:r>
              <w:rPr>
                <w:rFonts w:hint="eastAsia" w:ascii="仿宋" w:hAnsi="仿宋" w:eastAsia="仿宋" w:cs="仿宋"/>
                <w:b/>
                <w:color w:val="auto"/>
                <w:sz w:val="21"/>
                <w:szCs w:val="21"/>
                <w:lang w:bidi="ar"/>
              </w:rPr>
              <w:t>年项目支出</w:t>
            </w:r>
          </w:p>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1"/>
                <w:szCs w:val="21"/>
              </w:rPr>
            </w:pPr>
            <w:r>
              <w:rPr>
                <w:rFonts w:hint="eastAsia" w:ascii="仿宋" w:hAnsi="仿宋" w:eastAsia="仿宋" w:cs="仿宋"/>
                <w:b/>
                <w:color w:val="auto"/>
                <w:sz w:val="21"/>
                <w:szCs w:val="21"/>
                <w:lang w:bidi="ar"/>
              </w:rPr>
              <w:t>（万元）</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工资福利支出</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125.91</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color w:val="auto"/>
                <w:sz w:val="24"/>
                <w:szCs w:val="24"/>
                <w:lang w:bidi="ar"/>
              </w:rPr>
            </w:pPr>
            <w:r>
              <w:rPr>
                <w:rFonts w:hint="eastAsia" w:ascii="仿宋" w:hAnsi="仿宋" w:eastAsia="仿宋" w:cs="仿宋"/>
                <w:color w:val="auto"/>
                <w:sz w:val="24"/>
                <w:szCs w:val="24"/>
                <w:lang w:bidi="ar"/>
              </w:rPr>
              <w:t>0</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商品服务支出</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711.93</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bidi="ar"/>
              </w:rPr>
              <w:t>660.81</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对个人和家庭的补助</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8.16</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bidi="ar"/>
              </w:rPr>
              <w:t>0</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资本性支出</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bidi="ar"/>
              </w:rPr>
            </w:pPr>
            <w:r>
              <w:rPr>
                <w:rFonts w:hint="eastAsia" w:ascii="仿宋" w:hAnsi="仿宋" w:eastAsia="仿宋" w:cs="仿宋"/>
                <w:color w:val="auto"/>
                <w:sz w:val="24"/>
                <w:szCs w:val="24"/>
                <w:lang w:val="en-US" w:eastAsia="zh-CN" w:bidi="ar"/>
              </w:rPr>
              <w:t>24.70</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bidi="ar"/>
              </w:rPr>
              <w:t>9.62</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2268"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lang w:bidi="ar"/>
              </w:rPr>
              <w:t>合    计</w:t>
            </w:r>
          </w:p>
        </w:tc>
        <w:tc>
          <w:tcPr>
            <w:tcW w:w="1985"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1"/>
                <w:szCs w:val="21"/>
                <w:lang w:val="en-US" w:eastAsia="zh-CN" w:bidi="ar"/>
              </w:rPr>
            </w:pPr>
            <w:r>
              <w:rPr>
                <w:rFonts w:hint="eastAsia" w:ascii="仿宋" w:hAnsi="仿宋" w:eastAsia="仿宋" w:cs="仿宋"/>
                <w:color w:val="auto"/>
                <w:sz w:val="21"/>
                <w:szCs w:val="21"/>
                <w:lang w:val="en-US" w:eastAsia="zh-CN" w:bidi="ar"/>
              </w:rPr>
              <w:t>870.71</w:t>
            </w:r>
          </w:p>
        </w:tc>
        <w:tc>
          <w:tcPr>
            <w:tcW w:w="1989"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bidi="ar"/>
              </w:rPr>
              <w:t>670.43</w:t>
            </w:r>
          </w:p>
        </w:tc>
        <w:tc>
          <w:tcPr>
            <w:tcW w:w="1801"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200.28</w:t>
            </w:r>
          </w:p>
        </w:tc>
      </w:tr>
    </w:tbl>
    <w:p>
      <w:pPr>
        <w:pStyle w:val="71"/>
        <w:keepNext w:val="0"/>
        <w:keepLines w:val="0"/>
        <w:pageBreakBefore w:val="0"/>
        <w:widowControl/>
        <w:kinsoku/>
        <w:wordWrap/>
        <w:overflowPunct/>
        <w:topLinePunct w:val="0"/>
        <w:autoSpaceDE/>
        <w:autoSpaceDN/>
        <w:bidi w:val="0"/>
        <w:adjustRightInd/>
        <w:snapToGrid/>
        <w:spacing w:before="185" w:beforeLines="50" w:after="185" w:afterLines="50" w:line="540" w:lineRule="exact"/>
        <w:ind w:firstLine="600"/>
        <w:textAlignment w:val="auto"/>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lang w:val="en-US" w:eastAsia="zh-CN"/>
        </w:rPr>
        <w:t>三</w:t>
      </w:r>
      <w:r>
        <w:rPr>
          <w:rFonts w:hint="eastAsia" w:ascii="仿宋" w:hAnsi="仿宋" w:eastAsia="仿宋" w:cs="仿宋"/>
          <w:b/>
          <w:bCs/>
          <w:color w:val="auto"/>
          <w:sz w:val="30"/>
          <w:szCs w:val="30"/>
          <w:lang w:eastAsia="zh-CN"/>
        </w:rPr>
        <w:t>）“三公”经费管理使用情况</w:t>
      </w:r>
    </w:p>
    <w:p>
      <w:pPr>
        <w:spacing w:line="540" w:lineRule="exact"/>
        <w:ind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本部门认真落实和中央厉行节约的有关规定，严格执行中央八项规定、《党政机关理性节约反对浪费条例》和《湖南省党政机关公务接待管理办法》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控制</w:t>
      </w:r>
      <w:r>
        <w:rPr>
          <w:rFonts w:hint="eastAsia" w:ascii="仿宋" w:hAnsi="仿宋" w:eastAsia="仿宋" w:cs="仿宋"/>
          <w:color w:val="auto"/>
          <w:sz w:val="30"/>
          <w:szCs w:val="30"/>
        </w:rPr>
        <w:t>“三公”经费支出，本部门</w:t>
      </w:r>
      <w:r>
        <w:rPr>
          <w:rFonts w:hint="eastAsia" w:ascii="仿宋" w:hAnsi="仿宋" w:eastAsia="仿宋" w:cs="仿宋"/>
          <w:color w:val="auto"/>
          <w:sz w:val="30"/>
          <w:szCs w:val="30"/>
          <w:lang w:val="en-US" w:eastAsia="zh-CN"/>
        </w:rPr>
        <w:t>2021</w:t>
      </w:r>
      <w:r>
        <w:rPr>
          <w:rFonts w:hint="eastAsia" w:ascii="仿宋" w:hAnsi="仿宋" w:eastAsia="仿宋" w:cs="仿宋"/>
          <w:color w:val="auto"/>
          <w:sz w:val="30"/>
          <w:szCs w:val="30"/>
        </w:rPr>
        <w:t>年“三公”经费支出决算较20</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年决算数</w:t>
      </w:r>
      <w:r>
        <w:rPr>
          <w:rFonts w:hint="eastAsia" w:ascii="仿宋" w:hAnsi="仿宋" w:eastAsia="仿宋" w:cs="仿宋"/>
          <w:color w:val="auto"/>
          <w:sz w:val="30"/>
          <w:szCs w:val="30"/>
          <w:lang w:val="en-US" w:eastAsia="zh-CN"/>
        </w:rPr>
        <w:t>减少</w:t>
      </w:r>
      <w:r>
        <w:rPr>
          <w:rFonts w:hint="eastAsia" w:ascii="仿宋" w:hAnsi="仿宋" w:eastAsia="仿宋" w:cs="仿宋"/>
          <w:color w:val="auto"/>
          <w:sz w:val="30"/>
          <w:szCs w:val="30"/>
        </w:rPr>
        <w:t>，其中公务用车购置及运行维护费较20</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减少1.14</w:t>
      </w:r>
      <w:r>
        <w:rPr>
          <w:rFonts w:hint="eastAsia" w:ascii="仿宋" w:hAnsi="仿宋" w:eastAsia="仿宋" w:cs="仿宋"/>
          <w:color w:val="auto"/>
          <w:sz w:val="30"/>
          <w:szCs w:val="30"/>
        </w:rPr>
        <w:t>万元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业务招待费用</w:t>
      </w:r>
      <w:bookmarkStart w:id="4" w:name="_Hlk40303962"/>
      <w:r>
        <w:rPr>
          <w:rFonts w:hint="eastAsia" w:ascii="仿宋" w:hAnsi="仿宋" w:eastAsia="仿宋" w:cs="仿宋"/>
          <w:color w:val="auto"/>
          <w:sz w:val="30"/>
          <w:szCs w:val="30"/>
        </w:rPr>
        <w:t>较20</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年</w:t>
      </w:r>
      <w:bookmarkEnd w:id="4"/>
      <w:r>
        <w:rPr>
          <w:rFonts w:hint="eastAsia" w:ascii="仿宋" w:hAnsi="仿宋" w:eastAsia="仿宋" w:cs="仿宋"/>
          <w:color w:val="auto"/>
          <w:sz w:val="30"/>
          <w:szCs w:val="30"/>
          <w:lang w:val="en-US" w:eastAsia="zh-CN"/>
        </w:rPr>
        <w:t>增加3.43</w:t>
      </w:r>
      <w:r>
        <w:rPr>
          <w:rFonts w:hint="eastAsia" w:ascii="仿宋" w:hAnsi="仿宋" w:eastAsia="仿宋" w:cs="仿宋"/>
          <w:color w:val="auto"/>
          <w:sz w:val="30"/>
          <w:szCs w:val="30"/>
        </w:rPr>
        <w:t>万元</w:t>
      </w:r>
      <w:r>
        <w:rPr>
          <w:rFonts w:hint="eastAsia" w:ascii="仿宋" w:hAnsi="仿宋" w:eastAsia="仿宋" w:cs="仿宋"/>
          <w:color w:val="auto"/>
          <w:sz w:val="30"/>
          <w:szCs w:val="30"/>
          <w:lang w:val="en-US" w:eastAsia="zh-CN"/>
        </w:rPr>
        <w:t>,2021年未发生</w:t>
      </w:r>
      <w:r>
        <w:rPr>
          <w:rFonts w:hint="eastAsia" w:ascii="仿宋" w:hAnsi="仿宋" w:eastAsia="仿宋" w:cs="仿宋"/>
          <w:color w:val="auto"/>
          <w:sz w:val="30"/>
          <w:szCs w:val="30"/>
        </w:rPr>
        <w:t>因公出国（境）费。</w:t>
      </w:r>
    </w:p>
    <w:p>
      <w:pPr>
        <w:spacing w:line="540" w:lineRule="exact"/>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rPr>
        <w:t xml:space="preserve"> “三公”经费使用情况对比表</w:t>
      </w:r>
    </w:p>
    <w:tbl>
      <w:tblPr>
        <w:tblStyle w:val="24"/>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3119"/>
        <w:gridCol w:w="1863"/>
        <w:gridCol w:w="1815"/>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317" w:leftChars="-151" w:right="0" w:firstLine="287" w:firstLineChars="119"/>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3119"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bidi="ar"/>
              </w:rPr>
              <w:t>项</w:t>
            </w:r>
            <w:r>
              <w:rPr>
                <w:rFonts w:hint="eastAsia" w:ascii="仿宋" w:hAnsi="仿宋" w:eastAsia="仿宋" w:cs="仿宋"/>
                <w:b/>
                <w:color w:val="auto"/>
                <w:sz w:val="24"/>
                <w:szCs w:val="24"/>
                <w:lang w:val="en-US" w:eastAsia="zh-CN" w:bidi="ar"/>
              </w:rPr>
              <w:t xml:space="preserve">  </w:t>
            </w:r>
            <w:r>
              <w:rPr>
                <w:rFonts w:hint="eastAsia" w:ascii="仿宋" w:hAnsi="仿宋" w:eastAsia="仿宋" w:cs="仿宋"/>
                <w:b/>
                <w:color w:val="auto"/>
                <w:sz w:val="24"/>
                <w:szCs w:val="24"/>
                <w:lang w:bidi="ar"/>
              </w:rPr>
              <w:t>目</w:t>
            </w:r>
          </w:p>
        </w:tc>
        <w:tc>
          <w:tcPr>
            <w:tcW w:w="1863"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lang w:bidi="ar"/>
              </w:rPr>
            </w:pPr>
            <w:r>
              <w:rPr>
                <w:rFonts w:hint="eastAsia" w:ascii="仿宋" w:hAnsi="仿宋" w:eastAsia="仿宋" w:cs="仿宋"/>
                <w:b/>
                <w:color w:val="auto"/>
                <w:sz w:val="24"/>
                <w:szCs w:val="24"/>
                <w:lang w:bidi="ar"/>
              </w:rPr>
              <w:t>20</w:t>
            </w:r>
            <w:r>
              <w:rPr>
                <w:rFonts w:hint="eastAsia" w:ascii="仿宋" w:hAnsi="仿宋" w:eastAsia="仿宋" w:cs="仿宋"/>
                <w:b/>
                <w:color w:val="auto"/>
                <w:sz w:val="24"/>
                <w:szCs w:val="24"/>
                <w:lang w:val="en-US" w:eastAsia="zh-CN" w:bidi="ar"/>
              </w:rPr>
              <w:t>21</w:t>
            </w:r>
            <w:r>
              <w:rPr>
                <w:rFonts w:hint="eastAsia" w:ascii="仿宋" w:hAnsi="仿宋" w:eastAsia="仿宋" w:cs="仿宋"/>
                <w:b/>
                <w:color w:val="auto"/>
                <w:sz w:val="24"/>
                <w:szCs w:val="24"/>
                <w:lang w:bidi="ar"/>
              </w:rPr>
              <w:t>年支出</w:t>
            </w:r>
          </w:p>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lang w:bidi="ar"/>
              </w:rPr>
            </w:pPr>
            <w:r>
              <w:rPr>
                <w:rFonts w:hint="eastAsia" w:ascii="仿宋" w:hAnsi="仿宋" w:eastAsia="仿宋" w:cs="仿宋"/>
                <w:b/>
                <w:color w:val="auto"/>
                <w:sz w:val="24"/>
                <w:szCs w:val="24"/>
                <w:lang w:bidi="ar"/>
              </w:rPr>
              <w:t>（万元）</w:t>
            </w:r>
          </w:p>
        </w:tc>
        <w:tc>
          <w:tcPr>
            <w:tcW w:w="1815" w:type="dxa"/>
            <w:shd w:val="clear" w:color="auto" w:fill="FFFFFF"/>
            <w:vAlign w:val="top"/>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lang w:bidi="ar"/>
              </w:rPr>
            </w:pPr>
            <w:r>
              <w:rPr>
                <w:rFonts w:hint="eastAsia" w:ascii="仿宋" w:hAnsi="仿宋" w:eastAsia="仿宋" w:cs="仿宋"/>
                <w:b/>
                <w:color w:val="auto"/>
                <w:sz w:val="24"/>
                <w:szCs w:val="24"/>
                <w:lang w:bidi="ar"/>
              </w:rPr>
              <w:t>20</w:t>
            </w:r>
            <w:r>
              <w:rPr>
                <w:rFonts w:hint="eastAsia" w:ascii="仿宋" w:hAnsi="仿宋" w:eastAsia="仿宋" w:cs="仿宋"/>
                <w:b/>
                <w:color w:val="auto"/>
                <w:sz w:val="24"/>
                <w:szCs w:val="24"/>
                <w:lang w:val="en-US" w:eastAsia="zh-CN" w:bidi="ar"/>
              </w:rPr>
              <w:t>20</w:t>
            </w:r>
            <w:r>
              <w:rPr>
                <w:rFonts w:hint="eastAsia" w:ascii="仿宋" w:hAnsi="仿宋" w:eastAsia="仿宋" w:cs="仿宋"/>
                <w:b/>
                <w:color w:val="auto"/>
                <w:sz w:val="24"/>
                <w:szCs w:val="24"/>
                <w:lang w:bidi="ar"/>
              </w:rPr>
              <w:t>年支出</w:t>
            </w:r>
          </w:p>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bidi="ar"/>
              </w:rPr>
              <w:t>（万元）</w:t>
            </w:r>
          </w:p>
        </w:tc>
        <w:tc>
          <w:tcPr>
            <w:tcW w:w="1425"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3119" w:type="dxa"/>
            <w:shd w:val="clear" w:color="auto" w:fill="FFFFFF"/>
          </w:tcPr>
          <w:p>
            <w:pPr>
              <w:keepNext w:val="0"/>
              <w:keepLines w:val="0"/>
              <w:widowControl/>
              <w:suppressLineNumbers w:val="0"/>
              <w:spacing w:before="0" w:beforeAutospacing="0" w:after="0" w:afterAutospacing="0" w:line="440" w:lineRule="atLeast"/>
              <w:ind w:left="0" w:right="0"/>
              <w:rPr>
                <w:rFonts w:hint="eastAsia" w:ascii="仿宋" w:hAnsi="仿宋" w:eastAsia="仿宋" w:cs="仿宋"/>
                <w:color w:val="auto"/>
                <w:sz w:val="24"/>
                <w:szCs w:val="24"/>
              </w:rPr>
            </w:pPr>
            <w:r>
              <w:rPr>
                <w:rFonts w:hint="eastAsia" w:ascii="仿宋" w:hAnsi="仿宋" w:eastAsia="仿宋" w:cs="仿宋"/>
                <w:color w:val="auto"/>
                <w:sz w:val="24"/>
                <w:szCs w:val="24"/>
              </w:rPr>
              <w:t>公务接待费</w:t>
            </w:r>
          </w:p>
        </w:tc>
        <w:tc>
          <w:tcPr>
            <w:tcW w:w="1863"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bCs/>
                <w:color w:val="auto"/>
                <w:sz w:val="24"/>
                <w:szCs w:val="24"/>
                <w:lang w:val="en-US" w:eastAsia="zh-CN" w:bidi="ar"/>
              </w:rPr>
            </w:pPr>
            <w:r>
              <w:rPr>
                <w:rFonts w:hint="eastAsia" w:ascii="仿宋" w:hAnsi="仿宋" w:eastAsia="仿宋" w:cs="仿宋"/>
                <w:bCs/>
                <w:color w:val="auto"/>
                <w:sz w:val="24"/>
                <w:szCs w:val="24"/>
                <w:lang w:val="en-US" w:eastAsia="zh-CN" w:bidi="ar"/>
              </w:rPr>
              <w:t>8.44</w:t>
            </w:r>
          </w:p>
        </w:tc>
        <w:tc>
          <w:tcPr>
            <w:tcW w:w="1815"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bidi="ar"/>
              </w:rPr>
              <w:t>5.01</w:t>
            </w:r>
          </w:p>
        </w:tc>
        <w:tc>
          <w:tcPr>
            <w:tcW w:w="1425"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w:t>
            </w:r>
          </w:p>
        </w:tc>
        <w:tc>
          <w:tcPr>
            <w:tcW w:w="3119" w:type="dxa"/>
            <w:shd w:val="clear" w:color="auto" w:fill="FFFFFF"/>
          </w:tcPr>
          <w:p>
            <w:pPr>
              <w:keepNext w:val="0"/>
              <w:keepLines w:val="0"/>
              <w:widowControl/>
              <w:suppressLineNumbers w:val="0"/>
              <w:spacing w:before="0" w:beforeAutospacing="0" w:after="0" w:afterAutospacing="0" w:line="440" w:lineRule="atLeast"/>
              <w:ind w:left="0" w:right="0"/>
              <w:rPr>
                <w:rFonts w:hint="eastAsia" w:ascii="仿宋" w:hAnsi="仿宋" w:eastAsia="仿宋" w:cs="仿宋"/>
                <w:color w:val="auto"/>
                <w:sz w:val="24"/>
                <w:szCs w:val="24"/>
              </w:rPr>
            </w:pPr>
            <w:r>
              <w:rPr>
                <w:rFonts w:hint="eastAsia" w:ascii="仿宋" w:hAnsi="仿宋" w:eastAsia="仿宋" w:cs="仿宋"/>
                <w:color w:val="auto"/>
                <w:sz w:val="24"/>
                <w:szCs w:val="24"/>
              </w:rPr>
              <w:t>公务用车购置及运行维护费</w:t>
            </w:r>
          </w:p>
        </w:tc>
        <w:tc>
          <w:tcPr>
            <w:tcW w:w="1863"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bCs/>
                <w:color w:val="auto"/>
                <w:sz w:val="24"/>
                <w:szCs w:val="24"/>
                <w:lang w:val="en-US" w:eastAsia="zh-CN" w:bidi="ar"/>
              </w:rPr>
            </w:pPr>
            <w:r>
              <w:rPr>
                <w:rFonts w:hint="eastAsia" w:ascii="仿宋" w:hAnsi="仿宋" w:eastAsia="仿宋" w:cs="仿宋"/>
                <w:bCs/>
                <w:color w:val="auto"/>
                <w:sz w:val="24"/>
                <w:szCs w:val="24"/>
                <w:lang w:val="en-US" w:eastAsia="zh-CN" w:bidi="ar"/>
              </w:rPr>
              <w:t>66.48</w:t>
            </w:r>
          </w:p>
        </w:tc>
        <w:tc>
          <w:tcPr>
            <w:tcW w:w="1815"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bidi="ar"/>
              </w:rPr>
              <w:t>67.62</w:t>
            </w:r>
          </w:p>
        </w:tc>
        <w:tc>
          <w:tcPr>
            <w:tcW w:w="1425"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w:t>
            </w:r>
          </w:p>
        </w:tc>
        <w:tc>
          <w:tcPr>
            <w:tcW w:w="3119" w:type="dxa"/>
            <w:shd w:val="clear" w:color="auto" w:fill="FFFFFF"/>
          </w:tcPr>
          <w:p>
            <w:pPr>
              <w:keepNext w:val="0"/>
              <w:keepLines w:val="0"/>
              <w:widowControl/>
              <w:suppressLineNumbers w:val="0"/>
              <w:spacing w:before="0" w:beforeAutospacing="0" w:after="0" w:afterAutospacing="0" w:line="440" w:lineRule="atLeast"/>
              <w:ind w:left="0" w:right="0"/>
              <w:rPr>
                <w:rFonts w:hint="eastAsia" w:ascii="仿宋" w:hAnsi="仿宋" w:eastAsia="仿宋" w:cs="仿宋"/>
                <w:bCs/>
                <w:color w:val="auto"/>
                <w:sz w:val="24"/>
                <w:szCs w:val="24"/>
              </w:rPr>
            </w:pPr>
            <w:r>
              <w:rPr>
                <w:rFonts w:hint="eastAsia" w:ascii="仿宋" w:hAnsi="仿宋" w:eastAsia="仿宋" w:cs="仿宋"/>
                <w:bCs/>
                <w:color w:val="auto"/>
                <w:sz w:val="24"/>
                <w:szCs w:val="24"/>
              </w:rPr>
              <w:t>因公出国（境）费</w:t>
            </w:r>
          </w:p>
        </w:tc>
        <w:tc>
          <w:tcPr>
            <w:tcW w:w="1863"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Cs/>
                <w:color w:val="auto"/>
                <w:sz w:val="24"/>
                <w:szCs w:val="24"/>
                <w:lang w:eastAsia="zh-CN" w:bidi="ar"/>
              </w:rPr>
            </w:pPr>
            <w:r>
              <w:rPr>
                <w:rFonts w:hint="eastAsia" w:ascii="仿宋" w:hAnsi="仿宋" w:eastAsia="仿宋" w:cs="仿宋"/>
                <w:bCs/>
                <w:color w:val="auto"/>
                <w:sz w:val="24"/>
                <w:szCs w:val="24"/>
                <w:lang w:val="en-US" w:eastAsia="zh-CN" w:bidi="ar"/>
              </w:rPr>
              <w:t>0</w:t>
            </w:r>
          </w:p>
        </w:tc>
        <w:tc>
          <w:tcPr>
            <w:tcW w:w="1815"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bidi="ar"/>
              </w:rPr>
              <w:t>0</w:t>
            </w:r>
          </w:p>
        </w:tc>
        <w:tc>
          <w:tcPr>
            <w:tcW w:w="1425"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3119"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bidi="ar"/>
              </w:rPr>
              <w:t>合    计</w:t>
            </w:r>
          </w:p>
        </w:tc>
        <w:tc>
          <w:tcPr>
            <w:tcW w:w="1863" w:type="dxa"/>
            <w:shd w:val="clear" w:color="auto" w:fill="FFFFFF"/>
            <w:tcMar>
              <w:left w:w="108" w:type="dxa"/>
              <w:right w:w="108" w:type="dxa"/>
            </w:tcMar>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b/>
                <w:color w:val="auto"/>
                <w:sz w:val="24"/>
                <w:szCs w:val="24"/>
                <w:lang w:val="en-US" w:eastAsia="zh-CN" w:bidi="ar"/>
              </w:rPr>
            </w:pPr>
            <w:r>
              <w:rPr>
                <w:rFonts w:hint="eastAsia" w:ascii="仿宋" w:hAnsi="仿宋" w:eastAsia="仿宋" w:cs="仿宋"/>
                <w:b/>
                <w:color w:val="auto"/>
                <w:sz w:val="24"/>
                <w:szCs w:val="24"/>
                <w:lang w:val="en-US" w:eastAsia="zh-CN" w:bidi="ar"/>
              </w:rPr>
              <w:t>74.92</w:t>
            </w:r>
          </w:p>
        </w:tc>
        <w:tc>
          <w:tcPr>
            <w:tcW w:w="1815" w:type="dxa"/>
            <w:shd w:val="clear" w:color="auto" w:fill="FFFFFF"/>
            <w:vAlign w:val="top"/>
          </w:tcPr>
          <w:p>
            <w:pPr>
              <w:keepNext w:val="0"/>
              <w:keepLines w:val="0"/>
              <w:widowControl/>
              <w:suppressLineNumbers w:val="0"/>
              <w:spacing w:before="0" w:beforeAutospacing="0" w:after="0" w:afterAutospacing="0" w:line="440" w:lineRule="atLeast"/>
              <w:ind w:left="0" w:leftChars="0" w:right="0" w:rightChars="0"/>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bidi="ar"/>
              </w:rPr>
              <w:t>72.63</w:t>
            </w:r>
          </w:p>
        </w:tc>
        <w:tc>
          <w:tcPr>
            <w:tcW w:w="1425" w:type="dxa"/>
            <w:shd w:val="clear" w:color="auto" w:fill="FFFFFF"/>
          </w:tcPr>
          <w:p>
            <w:pPr>
              <w:keepNext w:val="0"/>
              <w:keepLines w:val="0"/>
              <w:widowControl/>
              <w:suppressLineNumbers w:val="0"/>
              <w:spacing w:before="0" w:beforeAutospacing="0" w:after="0" w:afterAutospacing="0" w:line="440" w:lineRule="atLeast"/>
              <w:ind w:left="0" w:right="0"/>
              <w:jc w:val="center"/>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2.29</w:t>
            </w:r>
          </w:p>
        </w:tc>
      </w:tr>
    </w:tbl>
    <w:p>
      <w:pPr>
        <w:spacing w:line="540" w:lineRule="exact"/>
        <w:rPr>
          <w:rFonts w:hint="default" w:ascii="仿宋" w:hAnsi="仿宋" w:eastAsia="仿宋" w:cs="仿宋"/>
          <w:color w:val="auto"/>
          <w:sz w:val="30"/>
          <w:szCs w:val="30"/>
          <w:lang w:val="en-US"/>
        </w:rPr>
      </w:pPr>
    </w:p>
    <w:p>
      <w:pPr>
        <w:spacing w:line="540" w:lineRule="exact"/>
        <w:rPr>
          <w:rFonts w:hint="eastAsia" w:ascii="仿宋" w:hAnsi="仿宋" w:eastAsia="仿宋" w:cs="仿宋"/>
          <w:b/>
          <w:bCs/>
          <w:color w:val="auto"/>
          <w:sz w:val="30"/>
          <w:szCs w:val="30"/>
        </w:rPr>
      </w:pPr>
      <w:r>
        <w:rPr>
          <w:rFonts w:hint="eastAsia" w:ascii="仿宋" w:hAnsi="仿宋" w:eastAsia="仿宋" w:cs="仿宋"/>
          <w:b/>
          <w:bCs/>
          <w:color w:val="auto"/>
          <w:sz w:val="30"/>
          <w:szCs w:val="30"/>
        </w:rPr>
        <w:t>三、政府性基金预算支出情况</w:t>
      </w:r>
    </w:p>
    <w:p>
      <w:pPr>
        <w:spacing w:line="540" w:lineRule="exact"/>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本部门本年</w:t>
      </w:r>
      <w:r>
        <w:rPr>
          <w:rFonts w:hint="eastAsia" w:ascii="仿宋" w:hAnsi="仿宋" w:eastAsia="仿宋" w:cs="仿宋"/>
          <w:color w:val="auto"/>
          <w:sz w:val="30"/>
          <w:szCs w:val="30"/>
          <w:lang w:val="en-US" w:eastAsia="zh-CN"/>
        </w:rPr>
        <w:t>无</w:t>
      </w:r>
      <w:r>
        <w:rPr>
          <w:rFonts w:hint="eastAsia" w:ascii="仿宋" w:hAnsi="仿宋" w:eastAsia="仿宋" w:cs="仿宋"/>
          <w:color w:val="auto"/>
          <w:sz w:val="30"/>
          <w:szCs w:val="30"/>
        </w:rPr>
        <w:t>政府性基金预算支出。</w:t>
      </w:r>
    </w:p>
    <w:p>
      <w:pPr>
        <w:pStyle w:val="71"/>
        <w:widowControl/>
        <w:spacing w:line="540" w:lineRule="exact"/>
        <w:ind w:firstLine="0" w:firstLineChars="0"/>
        <w:rPr>
          <w:rFonts w:hint="eastAsia" w:ascii="仿宋" w:hAnsi="仿宋" w:eastAsia="仿宋" w:cs="仿宋"/>
          <w:b/>
          <w:bCs/>
          <w:color w:val="auto"/>
          <w:sz w:val="30"/>
          <w:szCs w:val="30"/>
        </w:rPr>
      </w:pPr>
      <w:r>
        <w:rPr>
          <w:rFonts w:hint="eastAsia" w:ascii="仿宋" w:hAnsi="仿宋" w:eastAsia="仿宋" w:cs="仿宋"/>
          <w:b/>
          <w:bCs/>
          <w:color w:val="auto"/>
          <w:sz w:val="30"/>
          <w:szCs w:val="30"/>
        </w:rPr>
        <w:t>四、国有资本经营预算支出情况</w:t>
      </w:r>
    </w:p>
    <w:p>
      <w:pPr>
        <w:keepNext w:val="0"/>
        <w:keepLines w:val="0"/>
        <w:pageBreakBefore w:val="0"/>
        <w:widowControl/>
        <w:kinsoku/>
        <w:wordWrap/>
        <w:overflowPunct/>
        <w:topLinePunct w:val="0"/>
        <w:autoSpaceDE/>
        <w:autoSpaceDN/>
        <w:bidi w:val="0"/>
        <w:adjustRightInd/>
        <w:snapToGrid/>
        <w:spacing w:before="185" w:beforeLines="50" w:after="0" w:line="54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本部门本年</w:t>
      </w:r>
      <w:r>
        <w:rPr>
          <w:rFonts w:hint="eastAsia" w:ascii="仿宋" w:hAnsi="仿宋" w:eastAsia="仿宋" w:cs="仿宋"/>
          <w:color w:val="auto"/>
          <w:sz w:val="30"/>
          <w:szCs w:val="30"/>
          <w:lang w:val="en-US" w:eastAsia="zh-CN"/>
        </w:rPr>
        <w:t>无</w:t>
      </w:r>
      <w:r>
        <w:rPr>
          <w:rFonts w:hint="eastAsia" w:ascii="仿宋" w:hAnsi="仿宋" w:eastAsia="仿宋" w:cs="仿宋"/>
          <w:color w:val="auto"/>
          <w:sz w:val="30"/>
          <w:szCs w:val="30"/>
        </w:rPr>
        <w:t>国有资本经营预算支出。</w:t>
      </w:r>
    </w:p>
    <w:p>
      <w:pPr>
        <w:pStyle w:val="71"/>
        <w:widowControl/>
        <w:numPr>
          <w:ilvl w:val="0"/>
          <w:numId w:val="3"/>
        </w:numPr>
        <w:spacing w:line="540" w:lineRule="exact"/>
        <w:ind w:firstLine="0" w:firstLineChars="0"/>
        <w:rPr>
          <w:rFonts w:hint="eastAsia" w:ascii="仿宋" w:hAnsi="仿宋" w:eastAsia="仿宋" w:cs="仿宋"/>
          <w:b/>
          <w:bCs/>
          <w:color w:val="auto"/>
          <w:sz w:val="30"/>
          <w:szCs w:val="30"/>
        </w:rPr>
      </w:pPr>
      <w:r>
        <w:rPr>
          <w:rFonts w:hint="eastAsia" w:ascii="仿宋" w:hAnsi="仿宋" w:eastAsia="仿宋" w:cs="仿宋"/>
          <w:b/>
          <w:bCs/>
          <w:color w:val="auto"/>
          <w:sz w:val="30"/>
          <w:szCs w:val="30"/>
        </w:rPr>
        <w:t>社会保险基金预算支出情况</w:t>
      </w:r>
    </w:p>
    <w:p>
      <w:pPr>
        <w:keepNext w:val="0"/>
        <w:keepLines w:val="0"/>
        <w:pageBreakBefore w:val="0"/>
        <w:widowControl/>
        <w:kinsoku/>
        <w:wordWrap/>
        <w:overflowPunct/>
        <w:topLinePunct w:val="0"/>
        <w:autoSpaceDE/>
        <w:autoSpaceDN/>
        <w:bidi w:val="0"/>
        <w:adjustRightInd/>
        <w:snapToGrid/>
        <w:spacing w:before="185" w:beforeLines="50" w:after="0" w:line="540" w:lineRule="exact"/>
        <w:ind w:firstLine="600" w:firstLineChars="200"/>
        <w:jc w:val="both"/>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本部门本年无社会保险基金预算支出。</w:t>
      </w:r>
    </w:p>
    <w:p>
      <w:pPr>
        <w:numPr>
          <w:ilvl w:val="0"/>
          <w:numId w:val="3"/>
        </w:numPr>
        <w:spacing w:before="183" w:beforeLines="50" w:line="540" w:lineRule="exact"/>
        <w:ind w:left="0" w:leftChars="0" w:firstLine="0" w:firstLineChars="0"/>
        <w:rPr>
          <w:rFonts w:hint="eastAsia" w:ascii="仿宋" w:hAnsi="仿宋" w:eastAsia="仿宋" w:cs="仿宋"/>
          <w:b/>
          <w:bCs/>
          <w:color w:val="auto"/>
          <w:sz w:val="30"/>
          <w:szCs w:val="30"/>
        </w:rPr>
      </w:pPr>
      <w:r>
        <w:rPr>
          <w:rFonts w:hint="eastAsia" w:ascii="仿宋" w:hAnsi="仿宋" w:eastAsia="仿宋" w:cs="仿宋"/>
          <w:b/>
          <w:bCs/>
          <w:color w:val="auto"/>
          <w:sz w:val="30"/>
          <w:szCs w:val="30"/>
        </w:rPr>
        <w:t>部门整体绩效</w:t>
      </w:r>
      <w:r>
        <w:rPr>
          <w:rFonts w:hint="eastAsia" w:ascii="仿宋" w:hAnsi="仿宋" w:eastAsia="仿宋" w:cs="仿宋"/>
          <w:b/>
          <w:bCs/>
          <w:color w:val="auto"/>
          <w:sz w:val="30"/>
          <w:szCs w:val="30"/>
          <w:lang w:val="en-US" w:eastAsia="zh-CN"/>
        </w:rPr>
        <w:t>目标</w:t>
      </w:r>
      <w:r>
        <w:rPr>
          <w:rFonts w:hint="eastAsia" w:ascii="仿宋" w:hAnsi="仿宋" w:eastAsia="仿宋" w:cs="仿宋"/>
          <w:b/>
          <w:bCs/>
          <w:color w:val="auto"/>
          <w:sz w:val="30"/>
          <w:szCs w:val="30"/>
        </w:rPr>
        <w:t>情况</w:t>
      </w:r>
    </w:p>
    <w:p>
      <w:pPr>
        <w:spacing w:line="540" w:lineRule="exact"/>
        <w:ind w:firstLine="600" w:firstLineChars="200"/>
        <w:jc w:val="both"/>
        <w:rPr>
          <w:rFonts w:hint="eastAsia" w:ascii="仿宋" w:hAnsi="仿宋" w:eastAsia="仿宋" w:cs="仿宋"/>
          <w:b w:val="0"/>
          <w:bCs w:val="0"/>
          <w:color w:val="FF0000"/>
          <w:sz w:val="30"/>
          <w:szCs w:val="30"/>
          <w:lang w:eastAsia="zh-CN"/>
        </w:rPr>
      </w:pPr>
      <w:r>
        <w:rPr>
          <w:rFonts w:hint="eastAsia" w:ascii="仿宋" w:hAnsi="仿宋" w:eastAsia="仿宋" w:cs="仿宋"/>
          <w:b w:val="0"/>
          <w:bCs w:val="0"/>
          <w:color w:val="auto"/>
          <w:sz w:val="30"/>
          <w:szCs w:val="30"/>
        </w:rPr>
        <w:t>202</w:t>
      </w:r>
      <w:r>
        <w:rPr>
          <w:rFonts w:hint="eastAsia" w:ascii="仿宋" w:hAnsi="仿宋" w:eastAsia="仿宋" w:cs="仿宋"/>
          <w:b w:val="0"/>
          <w:bCs w:val="0"/>
          <w:color w:val="auto"/>
          <w:sz w:val="30"/>
          <w:szCs w:val="30"/>
          <w:lang w:val="en-US" w:eastAsia="zh-CN"/>
        </w:rPr>
        <w:t>1</w:t>
      </w:r>
      <w:r>
        <w:rPr>
          <w:rFonts w:hint="eastAsia" w:ascii="仿宋" w:hAnsi="仿宋" w:eastAsia="仿宋" w:cs="仿宋"/>
          <w:b w:val="0"/>
          <w:bCs w:val="0"/>
          <w:color w:val="auto"/>
          <w:sz w:val="30"/>
          <w:szCs w:val="30"/>
        </w:rPr>
        <w:t>年，州政协在中共湘西州委的坚强领导下，在州人大、州政府、吉首军分区的大力支持下，始终坚持以习近平新时代中国特色社会主义思想为指导，紧紧围绕州政协十二届六次会议的总体安排和2021年州政协工作要点，积极履行</w:t>
      </w:r>
      <w:r>
        <w:rPr>
          <w:rFonts w:hint="eastAsia" w:ascii="仿宋" w:hAnsi="仿宋" w:eastAsia="仿宋" w:cs="仿宋"/>
          <w:b w:val="0"/>
          <w:bCs w:val="0"/>
          <w:color w:val="auto"/>
          <w:sz w:val="30"/>
          <w:szCs w:val="30"/>
          <w:lang w:val="en-US" w:eastAsia="zh-CN"/>
        </w:rPr>
        <w:t>政协</w:t>
      </w:r>
      <w:r>
        <w:rPr>
          <w:rFonts w:hint="eastAsia" w:ascii="仿宋" w:hAnsi="仿宋" w:eastAsia="仿宋" w:cs="仿宋"/>
          <w:b w:val="0"/>
          <w:bCs w:val="0"/>
          <w:color w:val="auto"/>
          <w:sz w:val="30"/>
          <w:szCs w:val="30"/>
        </w:rPr>
        <w:t>职能，认真学习贯彻中央、省委和州委政协工作会议精神，以政治引领抓理论武装，聚焦主责主业抓协商议政，强化宗旨意识抓履职为民，突出改革创新抓提质增效，以党建统领抓自身建设，努力扛起人民政协的使命职责，着力打造务实智慧开放和谐政协</w:t>
      </w:r>
      <w:r>
        <w:rPr>
          <w:rFonts w:hint="eastAsia" w:ascii="仿宋" w:hAnsi="仿宋" w:eastAsia="仿宋" w:cs="仿宋"/>
          <w:b w:val="0"/>
          <w:bCs w:val="0"/>
          <w:color w:val="auto"/>
          <w:sz w:val="30"/>
          <w:szCs w:val="30"/>
          <w:lang w:eastAsia="zh-CN"/>
        </w:rPr>
        <w:t>；牵头筹备了州政协十二届六次会议，做好了常委会议、主席会议以及各类协商座谈会议等30余次会议的组织服务；严格执行中央、省委、州委关于中央八项规定的实施细则，做好会务、重大活动的后勤保障及来客接待工作，目前为止共接待24批200余人次；</w:t>
      </w:r>
      <w:r>
        <w:rPr>
          <w:rFonts w:hint="eastAsia" w:ascii="仿宋" w:hAnsi="仿宋" w:eastAsia="仿宋" w:cs="仿宋"/>
          <w:b w:val="0"/>
          <w:bCs w:val="0"/>
          <w:color w:val="auto"/>
          <w:sz w:val="30"/>
          <w:szCs w:val="30"/>
        </w:rPr>
        <w:t>围绕全州经济社会发展重要问题开展全会协商，州政协十二届六次会议共收到提案210件，编发《情况反映》25期，州委州政府主要领导阅示签批21期</w:t>
      </w:r>
      <w:r>
        <w:rPr>
          <w:rFonts w:hint="default" w:ascii="仿宋" w:hAnsi="仿宋" w:eastAsia="仿宋" w:cs="仿宋"/>
          <w:b w:val="0"/>
          <w:bCs w:val="0"/>
          <w:color w:val="auto"/>
          <w:sz w:val="30"/>
          <w:szCs w:val="30"/>
          <w:lang w:val="en-US"/>
        </w:rPr>
        <w:t>,及时印发了《中国人民政治协商会议湘西土家族苗族自治州第十二届委员会提案委员会关于十二届六次会议提案审查情况的报告》。经审查,立案的提案共160件,未立案提案50件, 其中,并案12件, 撤案2件, 36件作来信转交相关部门处理。坚持网上网下结合，传统媒体与新媒体结合，多渠道、全方位开展宣传工作，在中央、省、州主流媒体不断发出“政协声音”。在国家、省、州各级媒体上稿120余篇，在政协云、州政协微信公众号、网站共发布稿件650多篇，让政协声音传得更开、更广、更深</w:t>
      </w:r>
      <w:r>
        <w:rPr>
          <w:rFonts w:hint="eastAsia" w:ascii="仿宋" w:hAnsi="仿宋" w:eastAsia="仿宋" w:cs="仿宋"/>
          <w:b w:val="0"/>
          <w:bCs w:val="0"/>
          <w:color w:val="auto"/>
          <w:sz w:val="30"/>
          <w:szCs w:val="30"/>
          <w:lang w:val="en-US" w:eastAsia="zh-CN"/>
        </w:rPr>
        <w:t>。</w:t>
      </w:r>
      <w:r>
        <w:rPr>
          <w:rFonts w:hint="default" w:ascii="仿宋" w:hAnsi="仿宋" w:eastAsia="仿宋" w:cs="仿宋"/>
          <w:b w:val="0"/>
          <w:bCs w:val="0"/>
          <w:color w:val="auto"/>
          <w:sz w:val="30"/>
          <w:szCs w:val="30"/>
          <w:lang w:val="en-US"/>
        </w:rPr>
        <w:t>围绕“三农”方面的重点难点问题，主动作为，积极组织界别委员深入开展调研视察和重点提案督办等活动,</w:t>
      </w:r>
      <w:r>
        <w:rPr>
          <w:rFonts w:hint="eastAsia" w:ascii="仿宋" w:hAnsi="仿宋" w:eastAsia="仿宋" w:cs="仿宋"/>
          <w:b w:val="0"/>
          <w:bCs w:val="0"/>
          <w:color w:val="auto"/>
          <w:sz w:val="30"/>
          <w:szCs w:val="30"/>
        </w:rPr>
        <w:t>积极参与了省政协副主席易鹏飞一行来州关于“加大易地搬迁脱贫户就业扶持力度，促进持续稳定增收”课题的调研活动，较好地实现了省州县三级政协联动，龙山、永顺两县积极发展特色文旅产业帮助异地搬迁户实现“家门口就业”的经验得到了省政协调研组的一致好评</w:t>
      </w:r>
      <w:r>
        <w:rPr>
          <w:rFonts w:hint="eastAsia" w:ascii="仿宋" w:hAnsi="仿宋" w:eastAsia="仿宋" w:cs="仿宋"/>
          <w:b w:val="0"/>
          <w:bCs w:val="0"/>
          <w:color w:val="auto"/>
          <w:sz w:val="30"/>
          <w:szCs w:val="30"/>
          <w:lang w:eastAsia="zh-CN"/>
        </w:rPr>
        <w:t>。</w:t>
      </w:r>
    </w:p>
    <w:p>
      <w:pPr>
        <w:spacing w:line="540" w:lineRule="exact"/>
        <w:ind w:firstLine="600" w:firstLineChars="200"/>
        <w:jc w:val="both"/>
        <w:rPr>
          <w:rFonts w:hint="eastAsia" w:ascii="仿宋" w:hAnsi="仿宋" w:eastAsia="仿宋" w:cs="仿宋"/>
          <w:color w:val="FF0000"/>
          <w:sz w:val="30"/>
          <w:szCs w:val="30"/>
        </w:rPr>
      </w:pP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年收入总额</w:t>
      </w:r>
      <w:r>
        <w:rPr>
          <w:rFonts w:hint="default" w:ascii="仿宋" w:hAnsi="仿宋" w:eastAsia="仿宋" w:cs="仿宋"/>
          <w:color w:val="auto"/>
          <w:sz w:val="30"/>
          <w:szCs w:val="30"/>
          <w:lang w:val="en-US" w:eastAsia="zh-CN"/>
        </w:rPr>
        <w:t>2497.56</w:t>
      </w:r>
      <w:r>
        <w:rPr>
          <w:rFonts w:hint="eastAsia" w:ascii="仿宋" w:hAnsi="仿宋" w:eastAsia="仿宋" w:cs="仿宋"/>
          <w:color w:val="auto"/>
          <w:sz w:val="30"/>
          <w:szCs w:val="30"/>
        </w:rPr>
        <w:t>万元较20</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年收入</w:t>
      </w:r>
      <w:r>
        <w:rPr>
          <w:rFonts w:hint="eastAsia" w:ascii="仿宋" w:hAnsi="仿宋" w:eastAsia="仿宋" w:cs="仿宋"/>
          <w:color w:val="auto"/>
          <w:sz w:val="30"/>
          <w:szCs w:val="30"/>
          <w:lang w:val="en-US" w:eastAsia="zh-CN"/>
        </w:rPr>
        <w:t>2035.40</w:t>
      </w:r>
      <w:r>
        <w:rPr>
          <w:rFonts w:hint="eastAsia" w:ascii="仿宋" w:hAnsi="仿宋" w:eastAsia="仿宋" w:cs="仿宋"/>
          <w:color w:val="auto"/>
          <w:sz w:val="30"/>
          <w:szCs w:val="30"/>
        </w:rPr>
        <w:t>万元</w:t>
      </w:r>
      <w:r>
        <w:rPr>
          <w:rFonts w:hint="eastAsia" w:ascii="仿宋" w:hAnsi="仿宋" w:eastAsia="仿宋" w:cs="仿宋"/>
          <w:color w:val="auto"/>
          <w:sz w:val="30"/>
          <w:szCs w:val="30"/>
          <w:lang w:val="en-US" w:eastAsia="zh-CN"/>
        </w:rPr>
        <w:t>增加462.16</w:t>
      </w:r>
      <w:r>
        <w:rPr>
          <w:rFonts w:hint="eastAsia" w:ascii="仿宋" w:hAnsi="仿宋" w:eastAsia="仿宋" w:cs="仿宋"/>
          <w:color w:val="auto"/>
          <w:sz w:val="30"/>
          <w:szCs w:val="30"/>
        </w:rPr>
        <w:t>万元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较上年增长22.71</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其中</w:t>
      </w:r>
      <w:r>
        <w:rPr>
          <w:rFonts w:hint="eastAsia" w:ascii="仿宋" w:hAnsi="仿宋" w:eastAsia="仿宋" w:cs="仿宋"/>
          <w:color w:val="auto"/>
          <w:sz w:val="30"/>
          <w:szCs w:val="30"/>
        </w:rPr>
        <w:t>一般公共预算财政拨款收入</w:t>
      </w:r>
      <w:r>
        <w:rPr>
          <w:rFonts w:hint="eastAsia" w:ascii="仿宋" w:hAnsi="仿宋" w:eastAsia="仿宋" w:cs="仿宋"/>
          <w:color w:val="auto"/>
          <w:sz w:val="30"/>
          <w:szCs w:val="30"/>
          <w:lang w:val="en-US" w:eastAsia="zh-CN"/>
        </w:rPr>
        <w:t>2474.50</w:t>
      </w:r>
      <w:r>
        <w:rPr>
          <w:rFonts w:hint="eastAsia" w:ascii="仿宋" w:hAnsi="仿宋" w:eastAsia="仿宋" w:cs="仿宋"/>
          <w:color w:val="auto"/>
          <w:sz w:val="30"/>
          <w:szCs w:val="30"/>
        </w:rPr>
        <w:t>万元较20</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2021.40</w:t>
      </w:r>
      <w:r>
        <w:rPr>
          <w:rFonts w:hint="eastAsia" w:ascii="仿宋" w:hAnsi="仿宋" w:eastAsia="仿宋" w:cs="仿宋"/>
          <w:color w:val="auto"/>
          <w:sz w:val="30"/>
          <w:szCs w:val="30"/>
        </w:rPr>
        <w:t>万元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增加453.10</w:t>
      </w:r>
      <w:r>
        <w:rPr>
          <w:rFonts w:hint="eastAsia" w:ascii="仿宋" w:hAnsi="仿宋" w:eastAsia="仿宋" w:cs="仿宋"/>
          <w:color w:val="auto"/>
          <w:sz w:val="30"/>
          <w:szCs w:val="30"/>
        </w:rPr>
        <w:t>万元</w:t>
      </w:r>
      <w:r>
        <w:rPr>
          <w:rFonts w:hint="eastAsia" w:ascii="仿宋" w:hAnsi="仿宋" w:eastAsia="仿宋" w:cs="仿宋"/>
          <w:color w:val="auto"/>
          <w:sz w:val="30"/>
          <w:szCs w:val="30"/>
          <w:lang w:eastAsia="zh-CN"/>
        </w:rPr>
        <w:t>，较上年</w:t>
      </w:r>
      <w:r>
        <w:rPr>
          <w:rFonts w:hint="eastAsia" w:ascii="仿宋" w:hAnsi="仿宋" w:eastAsia="仿宋" w:cs="仿宋"/>
          <w:color w:val="auto"/>
          <w:sz w:val="30"/>
          <w:szCs w:val="30"/>
          <w:lang w:val="en-US" w:eastAsia="zh-CN"/>
        </w:rPr>
        <w:t>增长22.42</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本年支出总计</w:t>
      </w:r>
      <w:r>
        <w:rPr>
          <w:rFonts w:hint="eastAsia" w:ascii="仿宋" w:hAnsi="仿宋" w:eastAsia="仿宋" w:cs="仿宋"/>
          <w:color w:val="auto"/>
          <w:sz w:val="30"/>
          <w:szCs w:val="30"/>
          <w:lang w:val="en-US" w:eastAsia="zh-CN"/>
        </w:rPr>
        <w:t>2475.82</w:t>
      </w:r>
      <w:r>
        <w:rPr>
          <w:rFonts w:hint="eastAsia" w:ascii="仿宋" w:hAnsi="仿宋" w:eastAsia="仿宋" w:cs="仿宋"/>
          <w:color w:val="auto"/>
          <w:sz w:val="30"/>
          <w:szCs w:val="30"/>
        </w:rPr>
        <w:t>万元，较</w:t>
      </w:r>
      <w:r>
        <w:rPr>
          <w:rFonts w:hint="eastAsia" w:ascii="仿宋" w:hAnsi="仿宋" w:eastAsia="仿宋" w:cs="仿宋"/>
          <w:color w:val="auto"/>
          <w:sz w:val="30"/>
          <w:szCs w:val="30"/>
          <w:lang w:val="en-US" w:eastAsia="zh-CN"/>
        </w:rPr>
        <w:t>2020</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2048.12</w:t>
      </w:r>
      <w:r>
        <w:rPr>
          <w:rFonts w:hint="eastAsia" w:ascii="仿宋" w:hAnsi="仿宋" w:eastAsia="仿宋" w:cs="仿宋"/>
          <w:color w:val="auto"/>
          <w:sz w:val="30"/>
          <w:szCs w:val="30"/>
        </w:rPr>
        <w:t>万元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增加427.70</w:t>
      </w:r>
      <w:r>
        <w:rPr>
          <w:rFonts w:hint="eastAsia" w:ascii="仿宋" w:hAnsi="仿宋" w:eastAsia="仿宋" w:cs="仿宋"/>
          <w:color w:val="auto"/>
          <w:sz w:val="30"/>
          <w:szCs w:val="30"/>
        </w:rPr>
        <w:t>万元，</w:t>
      </w:r>
      <w:r>
        <w:rPr>
          <w:rFonts w:hint="eastAsia" w:ascii="仿宋" w:hAnsi="仿宋" w:eastAsia="仿宋" w:cs="仿宋"/>
          <w:color w:val="auto"/>
          <w:sz w:val="30"/>
          <w:szCs w:val="30"/>
          <w:lang w:val="en-US" w:eastAsia="zh-CN"/>
        </w:rPr>
        <w:t>较上年增长20.88</w:t>
      </w:r>
      <w:r>
        <w:rPr>
          <w:rFonts w:hint="eastAsia" w:ascii="仿宋" w:hAnsi="仿宋" w:eastAsia="仿宋" w:cs="仿宋"/>
          <w:color w:val="auto"/>
          <w:sz w:val="30"/>
          <w:szCs w:val="30"/>
        </w:rPr>
        <w:t>%。本年基本支出</w:t>
      </w:r>
      <w:r>
        <w:rPr>
          <w:rFonts w:hint="eastAsia" w:ascii="仿宋" w:hAnsi="仿宋" w:eastAsia="仿宋" w:cs="仿宋"/>
          <w:color w:val="auto"/>
          <w:sz w:val="30"/>
          <w:szCs w:val="30"/>
          <w:lang w:val="en-US" w:eastAsia="zh-CN"/>
        </w:rPr>
        <w:t>1605.11</w:t>
      </w:r>
      <w:r>
        <w:rPr>
          <w:rFonts w:hint="eastAsia" w:ascii="仿宋" w:hAnsi="仿宋" w:eastAsia="仿宋" w:cs="仿宋"/>
          <w:color w:val="auto"/>
          <w:sz w:val="30"/>
          <w:szCs w:val="30"/>
        </w:rPr>
        <w:t>万元，较</w:t>
      </w:r>
      <w:r>
        <w:rPr>
          <w:rFonts w:hint="eastAsia" w:ascii="仿宋" w:hAnsi="仿宋" w:eastAsia="仿宋" w:cs="仿宋"/>
          <w:color w:val="auto"/>
          <w:sz w:val="30"/>
          <w:szCs w:val="30"/>
          <w:lang w:val="en-US" w:eastAsia="zh-CN"/>
        </w:rPr>
        <w:t>2020</w:t>
      </w:r>
      <w:r>
        <w:rPr>
          <w:rFonts w:hint="eastAsia" w:ascii="仿宋" w:hAnsi="仿宋" w:eastAsia="仿宋" w:cs="仿宋"/>
          <w:color w:val="auto"/>
          <w:sz w:val="30"/>
          <w:szCs w:val="30"/>
        </w:rPr>
        <w:t>年支出1377.68万元</w:t>
      </w:r>
      <w:r>
        <w:rPr>
          <w:rFonts w:hint="eastAsia" w:ascii="仿宋" w:hAnsi="仿宋" w:eastAsia="仿宋" w:cs="仿宋"/>
          <w:color w:val="auto"/>
          <w:sz w:val="30"/>
          <w:szCs w:val="30"/>
          <w:lang w:val="en-US" w:eastAsia="zh-CN"/>
        </w:rPr>
        <w:t>增加227.43</w:t>
      </w:r>
      <w:r>
        <w:rPr>
          <w:rFonts w:hint="eastAsia" w:ascii="仿宋" w:hAnsi="仿宋" w:eastAsia="仿宋" w:cs="仿宋"/>
          <w:color w:val="auto"/>
          <w:sz w:val="30"/>
          <w:szCs w:val="30"/>
        </w:rPr>
        <w:t>万元，202</w:t>
      </w: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年人员经费支出</w:t>
      </w:r>
      <w:r>
        <w:rPr>
          <w:rFonts w:hint="eastAsia" w:ascii="仿宋" w:hAnsi="仿宋" w:eastAsia="仿宋" w:cs="仿宋"/>
          <w:color w:val="auto"/>
          <w:sz w:val="30"/>
          <w:szCs w:val="30"/>
          <w:lang w:val="en-US" w:eastAsia="zh-CN"/>
        </w:rPr>
        <w:t>1369.57</w:t>
      </w:r>
      <w:r>
        <w:rPr>
          <w:rFonts w:hint="eastAsia" w:ascii="仿宋" w:hAnsi="仿宋" w:eastAsia="仿宋" w:cs="仿宋"/>
          <w:color w:val="auto"/>
          <w:sz w:val="30"/>
          <w:szCs w:val="30"/>
        </w:rPr>
        <w:t>万元，公用经费支出</w:t>
      </w:r>
      <w:r>
        <w:rPr>
          <w:rFonts w:hint="eastAsia" w:ascii="仿宋" w:hAnsi="仿宋" w:eastAsia="仿宋" w:cs="仿宋"/>
          <w:color w:val="auto"/>
          <w:sz w:val="30"/>
          <w:szCs w:val="30"/>
          <w:lang w:val="en-US" w:eastAsia="zh-CN"/>
        </w:rPr>
        <w:t>235.54</w:t>
      </w:r>
      <w:r>
        <w:rPr>
          <w:rFonts w:hint="eastAsia" w:ascii="仿宋" w:hAnsi="仿宋" w:eastAsia="仿宋" w:cs="仿宋"/>
          <w:color w:val="auto"/>
          <w:sz w:val="30"/>
          <w:szCs w:val="30"/>
        </w:rPr>
        <w:t>万元；项目支出</w:t>
      </w:r>
      <w:r>
        <w:rPr>
          <w:rFonts w:hint="eastAsia" w:ascii="仿宋" w:hAnsi="仿宋" w:eastAsia="仿宋" w:cs="仿宋"/>
          <w:color w:val="auto"/>
          <w:sz w:val="30"/>
          <w:szCs w:val="30"/>
          <w:lang w:val="en-US" w:eastAsia="zh-CN"/>
        </w:rPr>
        <w:t>870.71</w:t>
      </w:r>
      <w:r>
        <w:rPr>
          <w:rFonts w:hint="eastAsia" w:ascii="仿宋" w:hAnsi="仿宋" w:eastAsia="仿宋" w:cs="仿宋"/>
          <w:color w:val="auto"/>
          <w:sz w:val="30"/>
          <w:szCs w:val="30"/>
        </w:rPr>
        <w:t>万元。年末结转和结余</w:t>
      </w:r>
      <w:r>
        <w:rPr>
          <w:rFonts w:hint="eastAsia" w:ascii="仿宋" w:hAnsi="仿宋" w:eastAsia="仿宋" w:cs="仿宋"/>
          <w:color w:val="auto"/>
          <w:sz w:val="30"/>
          <w:szCs w:val="30"/>
          <w:lang w:val="en-US" w:eastAsia="zh-CN"/>
        </w:rPr>
        <w:t>24.71</w:t>
      </w:r>
      <w:r>
        <w:rPr>
          <w:rFonts w:hint="eastAsia" w:ascii="仿宋" w:hAnsi="仿宋" w:eastAsia="仿宋" w:cs="仿宋"/>
          <w:color w:val="auto"/>
          <w:sz w:val="30"/>
          <w:szCs w:val="30"/>
        </w:rPr>
        <w:t>万元。</w:t>
      </w:r>
    </w:p>
    <w:p>
      <w:pPr>
        <w:numPr>
          <w:ilvl w:val="0"/>
          <w:numId w:val="0"/>
        </w:numPr>
        <w:spacing w:before="183" w:beforeLines="50" w:after="200" w:line="540" w:lineRule="exact"/>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（三）绩效评价指标情况</w:t>
      </w:r>
    </w:p>
    <w:p>
      <w:pPr>
        <w:spacing w:after="0" w:line="580" w:lineRule="exact"/>
        <w:ind w:left="0" w:leftChars="0" w:firstLine="199" w:firstLineChars="66"/>
        <w:jc w:val="both"/>
        <w:outlineLvl w:val="0"/>
        <w:rPr>
          <w:rFonts w:hint="eastAsia" w:ascii="仿宋" w:hAnsi="仿宋" w:eastAsia="仿宋" w:cs="仿宋"/>
          <w:b/>
          <w:bCs w:val="0"/>
          <w:color w:val="auto"/>
          <w:sz w:val="30"/>
          <w:szCs w:val="30"/>
          <w:lang w:val="en-US" w:eastAsia="zh-CN"/>
        </w:rPr>
      </w:pPr>
      <w:r>
        <w:rPr>
          <w:rFonts w:hint="eastAsia" w:ascii="仿宋" w:hAnsi="仿宋" w:eastAsia="仿宋" w:cs="仿宋"/>
          <w:b/>
          <w:bCs w:val="0"/>
          <w:color w:val="auto"/>
          <w:sz w:val="30"/>
          <w:szCs w:val="30"/>
          <w:lang w:val="en-US" w:eastAsia="zh-CN"/>
        </w:rPr>
        <w:t>1、预算执行率(10分，得9.9分，扣0.1分）</w:t>
      </w:r>
    </w:p>
    <w:p>
      <w:pPr>
        <w:spacing w:line="540" w:lineRule="exact"/>
        <w:ind w:firstLine="600" w:firstLineChars="200"/>
        <w:jc w:val="both"/>
        <w:rPr>
          <w:rFonts w:hint="default"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2021年，本部门收入预算2497.56万元，收入决算2497.56万元，支出预算2500.53万元，支出决算2475.82万元，预算执行率99%。</w:t>
      </w:r>
    </w:p>
    <w:p>
      <w:pPr>
        <w:spacing w:after="0" w:line="580" w:lineRule="exact"/>
        <w:ind w:left="0" w:leftChars="0" w:firstLine="199" w:firstLineChars="66"/>
        <w:jc w:val="both"/>
        <w:outlineLvl w:val="0"/>
        <w:rPr>
          <w:rFonts w:hint="eastAsia" w:ascii="仿宋" w:hAnsi="仿宋" w:eastAsia="仿宋" w:cs="仿宋"/>
          <w:b/>
          <w:bCs w:val="0"/>
          <w:color w:val="auto"/>
          <w:sz w:val="30"/>
          <w:szCs w:val="30"/>
        </w:rPr>
      </w:pPr>
      <w:r>
        <w:rPr>
          <w:rFonts w:hint="eastAsia" w:ascii="仿宋" w:hAnsi="仿宋" w:eastAsia="仿宋" w:cs="仿宋"/>
          <w:b/>
          <w:bCs w:val="0"/>
          <w:color w:val="auto"/>
          <w:sz w:val="30"/>
          <w:szCs w:val="30"/>
          <w:lang w:val="en-US" w:eastAsia="zh-CN"/>
        </w:rPr>
        <w:t>2、产出指标</w:t>
      </w:r>
      <w:r>
        <w:rPr>
          <w:rFonts w:hint="eastAsia" w:ascii="仿宋" w:hAnsi="仿宋" w:eastAsia="仿宋" w:cs="仿宋"/>
          <w:b/>
          <w:bCs w:val="0"/>
          <w:color w:val="auto"/>
          <w:sz w:val="30"/>
          <w:szCs w:val="30"/>
        </w:rPr>
        <w:t>(</w:t>
      </w:r>
      <w:r>
        <w:rPr>
          <w:rFonts w:hint="eastAsia" w:ascii="仿宋" w:hAnsi="仿宋" w:eastAsia="仿宋" w:cs="仿宋"/>
          <w:b/>
          <w:bCs w:val="0"/>
          <w:color w:val="auto"/>
          <w:sz w:val="30"/>
          <w:szCs w:val="30"/>
          <w:lang w:val="en-US" w:eastAsia="zh-CN"/>
        </w:rPr>
        <w:t>50</w:t>
      </w:r>
      <w:r>
        <w:rPr>
          <w:rFonts w:hint="eastAsia" w:ascii="仿宋" w:hAnsi="仿宋" w:eastAsia="仿宋" w:cs="仿宋"/>
          <w:b/>
          <w:bCs w:val="0"/>
          <w:color w:val="auto"/>
          <w:sz w:val="30"/>
          <w:szCs w:val="30"/>
        </w:rPr>
        <w:t>分</w:t>
      </w:r>
      <w:r>
        <w:rPr>
          <w:rFonts w:hint="eastAsia" w:ascii="仿宋" w:hAnsi="仿宋" w:eastAsia="仿宋" w:cs="仿宋"/>
          <w:b/>
          <w:bCs w:val="0"/>
          <w:color w:val="auto"/>
          <w:sz w:val="30"/>
          <w:szCs w:val="30"/>
          <w:lang w:eastAsia="zh-CN"/>
        </w:rPr>
        <w:t>，</w:t>
      </w:r>
      <w:r>
        <w:rPr>
          <w:rFonts w:hint="eastAsia" w:ascii="仿宋" w:hAnsi="仿宋" w:eastAsia="仿宋" w:cs="仿宋"/>
          <w:b/>
          <w:bCs w:val="0"/>
          <w:color w:val="auto"/>
          <w:sz w:val="30"/>
          <w:szCs w:val="30"/>
          <w:lang w:val="en-US" w:eastAsia="zh-CN"/>
        </w:rPr>
        <w:t>得50分</w:t>
      </w:r>
      <w:r>
        <w:rPr>
          <w:rFonts w:hint="eastAsia" w:ascii="仿宋" w:hAnsi="仿宋" w:eastAsia="仿宋" w:cs="仿宋"/>
          <w:b/>
          <w:bCs w:val="0"/>
          <w:color w:val="auto"/>
          <w:sz w:val="30"/>
          <w:szCs w:val="30"/>
        </w:rPr>
        <w:t>)</w:t>
      </w:r>
    </w:p>
    <w:p>
      <w:pPr>
        <w:spacing w:after="0" w:line="580" w:lineRule="exact"/>
        <w:ind w:left="0" w:leftChars="0" w:firstLine="199" w:firstLineChars="66"/>
        <w:jc w:val="both"/>
        <w:outlineLvl w:val="0"/>
        <w:rPr>
          <w:rFonts w:hint="eastAsia" w:ascii="仿宋" w:hAnsi="仿宋" w:eastAsia="仿宋" w:cs="仿宋"/>
          <w:b/>
          <w:bCs w:val="0"/>
          <w:color w:val="auto"/>
          <w:sz w:val="30"/>
          <w:szCs w:val="30"/>
          <w:lang w:val="en-US" w:eastAsia="zh-CN"/>
        </w:rPr>
      </w:pPr>
      <w:r>
        <w:rPr>
          <w:rFonts w:hint="eastAsia" w:ascii="仿宋" w:hAnsi="仿宋" w:eastAsia="仿宋" w:cs="仿宋"/>
          <w:b/>
          <w:bCs w:val="0"/>
          <w:color w:val="auto"/>
          <w:sz w:val="30"/>
          <w:szCs w:val="30"/>
          <w:lang w:val="en-US" w:eastAsia="zh-CN"/>
        </w:rPr>
        <w:t>2.1数量指标(15分，得15分)</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设立委员工作室：2021年，本部门设立19个委员工作室，建立了工作职责、学习等制度，积极创新履职载体。</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年度政协委员提案数：2021年，本部门十二届六次会议共收到提案210件，经审查,立案的提案共160件,未立案提案50件, 其中并案12件, 撤案2件, 36件作来信转交相关部门处理。</w:t>
      </w:r>
    </w:p>
    <w:p>
      <w:pPr>
        <w:numPr>
          <w:ilvl w:val="0"/>
          <w:numId w:val="4"/>
        </w:numPr>
        <w:spacing w:after="0" w:line="580" w:lineRule="exact"/>
        <w:ind w:left="640" w:leftChars="0" w:hanging="640" w:firstLineChars="0"/>
        <w:jc w:val="both"/>
        <w:outlineLvl w:val="0"/>
        <w:rPr>
          <w:rFonts w:hint="default"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提交优秀调研报告文稿数：2021年收集和整理了机关和各县市优秀理论文章、优秀调研报告20余篇，汇总《湘西州政协系统参加“2021年度湖南省人民政协理论研究会征文”论文合集》《湘西州政协系统参加“2021年度省政协调研报告评比”调研报告合集》。</w:t>
      </w:r>
    </w:p>
    <w:p>
      <w:pPr>
        <w:numPr>
          <w:ilvl w:val="0"/>
          <w:numId w:val="4"/>
        </w:numPr>
        <w:spacing w:after="0" w:line="580" w:lineRule="exact"/>
        <w:ind w:left="640" w:leftChars="0" w:hanging="640" w:firstLineChars="0"/>
        <w:jc w:val="both"/>
        <w:outlineLvl w:val="0"/>
        <w:rPr>
          <w:rFonts w:hint="default"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全年委员提案立案数：围绕全州经济社会发展重要问题开展全会协商，本部门十二届六次会议共收到提案210件，立案的提案共160件。</w:t>
      </w:r>
    </w:p>
    <w:p>
      <w:pPr>
        <w:spacing w:after="0" w:line="580" w:lineRule="exact"/>
        <w:ind w:left="0" w:leftChars="0" w:firstLine="199" w:firstLineChars="66"/>
        <w:jc w:val="both"/>
        <w:outlineLvl w:val="0"/>
        <w:rPr>
          <w:rFonts w:hint="eastAsia" w:ascii="仿宋" w:hAnsi="仿宋" w:eastAsia="仿宋" w:cs="仿宋"/>
          <w:b/>
          <w:bCs w:val="0"/>
          <w:color w:val="auto"/>
          <w:sz w:val="30"/>
          <w:szCs w:val="30"/>
          <w:lang w:val="en-US" w:eastAsia="zh-CN"/>
        </w:rPr>
      </w:pPr>
      <w:r>
        <w:rPr>
          <w:rFonts w:hint="eastAsia" w:ascii="仿宋" w:hAnsi="仿宋" w:eastAsia="仿宋" w:cs="仿宋"/>
          <w:b/>
          <w:bCs w:val="0"/>
          <w:color w:val="auto"/>
          <w:sz w:val="30"/>
          <w:szCs w:val="30"/>
          <w:lang w:val="en-US" w:eastAsia="zh-CN"/>
        </w:rPr>
        <w:t>2.2质量指标(15分，得15分)</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_GB2312" w:hAnsi="Calibri" w:eastAsia="仿宋_GB2312" w:cs="Calibri"/>
          <w:color w:val="auto"/>
          <w:kern w:val="2"/>
          <w:sz w:val="32"/>
          <w:szCs w:val="32"/>
          <w:lang w:val="en-US" w:eastAsia="zh-CN" w:bidi="ar"/>
        </w:rPr>
        <w:t>重点提案提交完成率</w:t>
      </w:r>
      <w:r>
        <w:rPr>
          <w:rFonts w:hint="eastAsia" w:ascii="仿宋" w:hAnsi="仿宋" w:eastAsia="仿宋" w:cs="仿宋"/>
          <w:b w:val="0"/>
          <w:bCs/>
          <w:color w:val="auto"/>
          <w:sz w:val="30"/>
          <w:szCs w:val="30"/>
          <w:lang w:val="en-US" w:eastAsia="zh-CN"/>
        </w:rPr>
        <w:t>：确定了《关于加快我州中医药民族药传承创新发展的建议》等14件提案为 2021年度办理协商重点提案,由州委、州政府领导分别牵头领办,相关部门具体承办;由州政协主席、副主席牵头对重点提案开展现场督办。</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重点课题调研报告完成质量：《弘扬红色文化，推进红色湘西建设调研报告》，在州政协十二届三十七次主席会议上审议通过，荣获全省政协系统调研报告一等奖。</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政协云管理到位率：进一步推进网络平台建设，完善了州政协门户网、“政协云”、“湘西政协”微信公众号平台相关管理制度，积极做好网络舆情监控处置，规范网上信息传播秩序。</w:t>
      </w:r>
    </w:p>
    <w:p>
      <w:pPr>
        <w:spacing w:after="0" w:line="580" w:lineRule="exact"/>
        <w:jc w:val="both"/>
        <w:outlineLvl w:val="0"/>
        <w:rPr>
          <w:rFonts w:hint="eastAsia" w:ascii="仿宋" w:hAnsi="仿宋" w:eastAsia="仿宋" w:cs="仿宋"/>
          <w:b/>
          <w:color w:val="auto"/>
          <w:sz w:val="30"/>
          <w:szCs w:val="30"/>
          <w:lang w:val="en-US" w:eastAsia="zh-CN"/>
        </w:rPr>
      </w:pPr>
      <w:r>
        <w:rPr>
          <w:rFonts w:hint="eastAsia" w:ascii="仿宋" w:hAnsi="仿宋" w:eastAsia="仿宋" w:cs="仿宋"/>
          <w:b/>
          <w:color w:val="auto"/>
          <w:sz w:val="30"/>
          <w:szCs w:val="30"/>
          <w:lang w:val="en-US" w:eastAsia="zh-CN"/>
        </w:rPr>
        <w:t>2.3时效指标(5分，得5分)</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重点工作完成及时率：2021年本单位重点工作完成及时率达100%，工作圆满完成。</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民主监督意见完成率：围绕“对进一步加强和改进政协民主监督工作的实施意见提出建议”提供3000余字的理论文章，报送省政协社法委。根据要求，向省政协研究室反馈《省政协关于加强和促进人民政协凝聚共识工作的实施意见》修改意见。认真开展重点提案督办</w:t>
      </w:r>
      <w:r>
        <w:rPr>
          <w:rFonts w:hint="default" w:ascii="仿宋" w:hAnsi="仿宋" w:eastAsia="仿宋" w:cs="仿宋"/>
          <w:b w:val="0"/>
          <w:bCs/>
          <w:color w:val="auto"/>
          <w:sz w:val="30"/>
          <w:szCs w:val="30"/>
          <w:lang w:val="en-US" w:eastAsia="zh-CN"/>
        </w:rPr>
        <w:t>,</w:t>
      </w:r>
      <w:r>
        <w:rPr>
          <w:rFonts w:hint="eastAsia" w:ascii="仿宋" w:hAnsi="仿宋" w:eastAsia="仿宋" w:cs="仿宋"/>
          <w:b w:val="0"/>
          <w:bCs/>
          <w:color w:val="auto"/>
          <w:sz w:val="30"/>
          <w:szCs w:val="30"/>
          <w:lang w:val="en-US" w:eastAsia="zh-CN"/>
        </w:rPr>
        <w:t>完成州政协十二届六次会议重点提案的督办以及民主监督工作，打好“重点提案+民主监督”组合拳，注重履职成果转化，通过重点提案督办，增强协商监督实效，推动为民办实事工作落地落实。</w:t>
      </w:r>
    </w:p>
    <w:p>
      <w:pPr>
        <w:spacing w:after="0" w:line="580" w:lineRule="exact"/>
        <w:ind w:firstLine="301" w:firstLineChars="100"/>
        <w:jc w:val="both"/>
        <w:outlineLvl w:val="0"/>
        <w:rPr>
          <w:rFonts w:hint="eastAsia" w:ascii="仿宋" w:hAnsi="仿宋" w:eastAsia="仿宋" w:cs="仿宋"/>
          <w:b/>
          <w:color w:val="auto"/>
          <w:sz w:val="30"/>
          <w:szCs w:val="30"/>
          <w:lang w:val="en-US" w:eastAsia="zh-CN"/>
        </w:rPr>
      </w:pPr>
      <w:r>
        <w:rPr>
          <w:rFonts w:hint="eastAsia" w:ascii="仿宋" w:hAnsi="仿宋" w:eastAsia="仿宋" w:cs="仿宋"/>
          <w:b/>
          <w:color w:val="auto"/>
          <w:sz w:val="30"/>
          <w:szCs w:val="30"/>
          <w:lang w:val="en-US" w:eastAsia="zh-CN"/>
        </w:rPr>
        <w:t>2.4成本指标(15分，得15分)</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在职人员控制率：202</w:t>
      </w:r>
      <w:r>
        <w:rPr>
          <w:rFonts w:hint="default" w:ascii="仿宋" w:hAnsi="仿宋" w:eastAsia="仿宋" w:cs="仿宋"/>
          <w:b w:val="0"/>
          <w:bCs/>
          <w:color w:val="auto"/>
          <w:sz w:val="30"/>
          <w:szCs w:val="30"/>
          <w:lang w:val="en-US" w:eastAsia="zh-CN"/>
        </w:rPr>
        <w:t>1</w:t>
      </w:r>
      <w:r>
        <w:rPr>
          <w:rFonts w:hint="eastAsia" w:ascii="仿宋" w:hAnsi="仿宋" w:eastAsia="仿宋" w:cs="仿宋"/>
          <w:b w:val="0"/>
          <w:bCs/>
          <w:color w:val="auto"/>
          <w:sz w:val="30"/>
          <w:szCs w:val="30"/>
          <w:lang w:val="en-US" w:eastAsia="zh-CN"/>
        </w:rPr>
        <w:t>年年末实有人数61人，2020年在职人员编制数60人，本单位在职人员控制率为98%。</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公用经费控制率：202</w:t>
      </w:r>
      <w:r>
        <w:rPr>
          <w:rFonts w:hint="default" w:ascii="仿宋" w:hAnsi="仿宋" w:eastAsia="仿宋" w:cs="仿宋"/>
          <w:b w:val="0"/>
          <w:bCs/>
          <w:color w:val="auto"/>
          <w:sz w:val="30"/>
          <w:szCs w:val="30"/>
          <w:lang w:val="en-US" w:eastAsia="zh-CN"/>
        </w:rPr>
        <w:t>1</w:t>
      </w:r>
      <w:r>
        <w:rPr>
          <w:rFonts w:hint="eastAsia" w:ascii="仿宋" w:hAnsi="仿宋" w:eastAsia="仿宋" w:cs="仿宋"/>
          <w:b w:val="0"/>
          <w:bCs/>
          <w:color w:val="auto"/>
          <w:sz w:val="30"/>
          <w:szCs w:val="30"/>
          <w:lang w:val="en-US" w:eastAsia="zh-CN"/>
        </w:rPr>
        <w:t>本单位预算安排公用经费</w:t>
      </w:r>
      <w:r>
        <w:rPr>
          <w:rFonts w:hint="default" w:ascii="仿宋" w:hAnsi="仿宋" w:eastAsia="仿宋" w:cs="仿宋"/>
          <w:b w:val="0"/>
          <w:bCs/>
          <w:color w:val="auto"/>
          <w:sz w:val="30"/>
          <w:szCs w:val="30"/>
          <w:lang w:val="en-US" w:eastAsia="zh-CN"/>
        </w:rPr>
        <w:t>251.36</w:t>
      </w:r>
      <w:r>
        <w:rPr>
          <w:rFonts w:hint="eastAsia" w:ascii="仿宋" w:hAnsi="仿宋" w:eastAsia="仿宋" w:cs="仿宋"/>
          <w:b w:val="0"/>
          <w:bCs/>
          <w:color w:val="auto"/>
          <w:sz w:val="30"/>
          <w:szCs w:val="30"/>
          <w:lang w:val="en-US" w:eastAsia="zh-CN"/>
        </w:rPr>
        <w:t>万元，实际支出公用经费</w:t>
      </w:r>
      <w:r>
        <w:rPr>
          <w:rFonts w:hint="default" w:ascii="仿宋" w:hAnsi="仿宋" w:eastAsia="仿宋" w:cs="仿宋"/>
          <w:b w:val="0"/>
          <w:bCs/>
          <w:color w:val="auto"/>
          <w:sz w:val="30"/>
          <w:szCs w:val="30"/>
          <w:lang w:val="en-US" w:eastAsia="zh-CN"/>
        </w:rPr>
        <w:t>235.54</w:t>
      </w:r>
      <w:r>
        <w:rPr>
          <w:rFonts w:hint="eastAsia" w:ascii="仿宋" w:hAnsi="仿宋" w:eastAsia="仿宋" w:cs="仿宋"/>
          <w:b w:val="0"/>
          <w:bCs/>
          <w:color w:val="auto"/>
          <w:sz w:val="30"/>
          <w:szCs w:val="30"/>
          <w:lang w:val="en-US" w:eastAsia="zh-CN"/>
        </w:rPr>
        <w:t>万元，公用经费控制率为</w:t>
      </w:r>
      <w:r>
        <w:rPr>
          <w:rFonts w:hint="default" w:ascii="仿宋" w:hAnsi="仿宋" w:eastAsia="仿宋" w:cs="仿宋"/>
          <w:b w:val="0"/>
          <w:bCs/>
          <w:color w:val="auto"/>
          <w:sz w:val="30"/>
          <w:szCs w:val="30"/>
          <w:lang w:val="en-US" w:eastAsia="zh-CN"/>
        </w:rPr>
        <w:t>94</w:t>
      </w:r>
      <w:r>
        <w:rPr>
          <w:rFonts w:hint="eastAsia" w:ascii="仿宋" w:hAnsi="仿宋" w:eastAsia="仿宋" w:cs="仿宋"/>
          <w:b w:val="0"/>
          <w:bCs/>
          <w:color w:val="auto"/>
          <w:sz w:val="30"/>
          <w:szCs w:val="30"/>
          <w:lang w:val="en-US" w:eastAsia="zh-CN"/>
        </w:rPr>
        <w:t>%。</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政府采购执行率：2021年政府采购预算数</w:t>
      </w:r>
      <w:r>
        <w:rPr>
          <w:rFonts w:hint="default" w:ascii="仿宋" w:hAnsi="仿宋" w:eastAsia="仿宋" w:cs="仿宋"/>
          <w:b w:val="0"/>
          <w:bCs/>
          <w:color w:val="auto"/>
          <w:sz w:val="30"/>
          <w:szCs w:val="30"/>
          <w:lang w:val="en-US" w:eastAsia="zh-CN"/>
        </w:rPr>
        <w:t>60.10</w:t>
      </w:r>
      <w:r>
        <w:rPr>
          <w:rFonts w:hint="eastAsia" w:ascii="仿宋" w:hAnsi="仿宋" w:eastAsia="仿宋" w:cs="仿宋"/>
          <w:b w:val="0"/>
          <w:bCs/>
          <w:color w:val="auto"/>
          <w:sz w:val="30"/>
          <w:szCs w:val="30"/>
          <w:lang w:val="en-US" w:eastAsia="zh-CN"/>
        </w:rPr>
        <w:t>万元，实际政府采购数60.10元，政府采购执行率100%。</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“三公经费”控制率：2021年本单位“三公”经费预算121.27万元，实际支出56.95万元；本年度“三公”经费控制率为47%；</w:t>
      </w:r>
    </w:p>
    <w:p>
      <w:pPr>
        <w:numPr>
          <w:ilvl w:val="0"/>
          <w:numId w:val="4"/>
        </w:numPr>
        <w:spacing w:after="0" w:line="580" w:lineRule="exact"/>
        <w:ind w:left="640" w:leftChars="0" w:hanging="640" w:firstLineChars="0"/>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固定资产利用率：本单位所有固定资产总额1237.27万元，实际在用固定资产总额1237.27万元，固定资产利用率100%，没有闲置、出租等固定资产。</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2、</w:t>
      </w:r>
      <w:r>
        <w:rPr>
          <w:rFonts w:hint="eastAsia" w:ascii="仿宋" w:hAnsi="仿宋" w:eastAsia="仿宋" w:cs="仿宋"/>
          <w:b/>
          <w:color w:val="auto"/>
          <w:sz w:val="30"/>
          <w:szCs w:val="30"/>
        </w:rPr>
        <w:t>效益</w:t>
      </w:r>
      <w:r>
        <w:rPr>
          <w:rFonts w:hint="eastAsia" w:ascii="仿宋" w:hAnsi="仿宋" w:eastAsia="仿宋" w:cs="仿宋"/>
          <w:b/>
          <w:color w:val="auto"/>
          <w:sz w:val="30"/>
          <w:szCs w:val="30"/>
          <w:lang w:val="en-US" w:eastAsia="zh-CN"/>
        </w:rPr>
        <w:t xml:space="preserve">指标（30分，得28分） </w:t>
      </w:r>
    </w:p>
    <w:p>
      <w:pPr>
        <w:spacing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2</w:t>
      </w:r>
      <w:r>
        <w:rPr>
          <w:rFonts w:hint="eastAsia" w:ascii="仿宋" w:hAnsi="仿宋" w:eastAsia="仿宋" w:cs="仿宋"/>
          <w:b/>
          <w:color w:val="auto"/>
          <w:sz w:val="30"/>
          <w:szCs w:val="30"/>
        </w:rPr>
        <w:t>.1经济效益指标</w:t>
      </w:r>
    </w:p>
    <w:p>
      <w:pPr>
        <w:spacing w:after="0" w:line="580" w:lineRule="exact"/>
        <w:ind w:firstLine="600" w:firstLineChars="200"/>
        <w:jc w:val="both"/>
        <w:rPr>
          <w:rFonts w:hint="eastAsia" w:ascii="仿宋" w:hAnsi="仿宋" w:eastAsia="仿宋" w:cs="仿宋"/>
          <w:bCs/>
          <w:color w:val="auto"/>
          <w:sz w:val="30"/>
          <w:szCs w:val="30"/>
          <w:lang w:eastAsia="zh-CN"/>
        </w:rPr>
      </w:pPr>
      <w:r>
        <w:rPr>
          <w:rFonts w:hint="eastAsia" w:ascii="仿宋" w:hAnsi="仿宋" w:eastAsia="仿宋" w:cs="仿宋"/>
          <w:bCs/>
          <w:color w:val="auto"/>
          <w:sz w:val="30"/>
          <w:szCs w:val="30"/>
          <w:lang w:val="en-US" w:eastAsia="zh-CN"/>
        </w:rPr>
        <w:t>2021年，积极开展湘西州“红军村红色贷，助力乡村振兴”行动，主动联系州委党史研究室、州政协文教卫体和文史委员会、州财政局、州农业农村局、州乡村振兴局、州人民银行、省农村信用联社湘西办事处等单位，三次组织召开了“红军村红色贷”座谈会，充分吸纳各职能部门意见建议并形成了《关于开展“红军村红色贷，助力乡村振兴”行动实施方案》，先后深入龙山、保靖、花垣等县了解、督促行动实施情况，并提出了意见建议；积极筹备活动启动仪式，10月12日，湘西州“红军村红色贷，助力乡村振兴”行动启动仪式在龙山县茨岩塘镇红色文化广场举行，州委书记虢正贵出席启动仪式，并宣布“湘西州红军村红色贷，助力乡村振兴”行动正式启动。活动开展以来，首批60个“红军村”评级率、建档率和授信率均达100%，预授信9639户、授信金额4.66亿元，为2029户办理贷款2.15亿元，同时为“红军路”“红色文化广场”“纪念馆”等红军村基础设施建设贷款1.2亿元；围绕“我州白酒产业高质量发展”“我州税源建设”“打造开放合作经济，迎接高铁空港时代到来”等重点工作和热点问题开展了专题协商，提出了对策和建议。</w:t>
      </w:r>
    </w:p>
    <w:p>
      <w:pPr>
        <w:keepNext w:val="0"/>
        <w:keepLines w:val="0"/>
        <w:pageBreakBefore w:val="0"/>
        <w:widowControl/>
        <w:kinsoku/>
        <w:wordWrap/>
        <w:overflowPunct/>
        <w:topLinePunct w:val="0"/>
        <w:autoSpaceDE/>
        <w:autoSpaceDN/>
        <w:bidi w:val="0"/>
        <w:adjustRightInd/>
        <w:snapToGrid/>
        <w:spacing w:before="185" w:beforeLines="50" w:after="0" w:line="580" w:lineRule="exact"/>
        <w:jc w:val="both"/>
        <w:textAlignment w:val="auto"/>
        <w:outlineLvl w:val="0"/>
        <w:rPr>
          <w:rFonts w:hint="eastAsia" w:ascii="仿宋" w:hAnsi="仿宋" w:eastAsia="仿宋" w:cs="仿宋"/>
          <w:b/>
          <w:color w:val="auto"/>
          <w:sz w:val="30"/>
          <w:szCs w:val="30"/>
          <w:lang w:val="en-US" w:eastAsia="zh-CN"/>
        </w:rPr>
      </w:pPr>
      <w:r>
        <w:rPr>
          <w:rFonts w:hint="eastAsia" w:ascii="仿宋" w:hAnsi="仿宋" w:eastAsia="仿宋" w:cs="仿宋"/>
          <w:b/>
          <w:color w:val="auto"/>
          <w:sz w:val="30"/>
          <w:szCs w:val="30"/>
          <w:lang w:val="en-US" w:eastAsia="zh-CN"/>
        </w:rPr>
        <w:t>2.2社会效益指标</w:t>
      </w:r>
    </w:p>
    <w:p>
      <w:pPr>
        <w:spacing w:after="0" w:line="580" w:lineRule="exact"/>
        <w:ind w:firstLine="600" w:firstLineChars="200"/>
        <w:jc w:val="both"/>
        <w:rPr>
          <w:rFonts w:hint="eastAsia" w:ascii="仿宋" w:hAnsi="仿宋" w:eastAsia="仿宋" w:cs="仿宋"/>
          <w:bCs/>
          <w:color w:val="auto"/>
          <w:sz w:val="30"/>
          <w:szCs w:val="30"/>
          <w:lang w:val="en-US" w:eastAsia="zh-CN"/>
        </w:rPr>
      </w:pPr>
      <w:r>
        <w:rPr>
          <w:rFonts w:hint="eastAsia" w:ascii="仿宋" w:hAnsi="仿宋" w:eastAsia="仿宋" w:cs="仿宋"/>
          <w:bCs/>
          <w:color w:val="auto"/>
          <w:sz w:val="30"/>
          <w:szCs w:val="30"/>
          <w:lang w:val="en-US" w:eastAsia="zh-CN"/>
        </w:rPr>
        <w:t>2021年，本部门圆满完成驻蒲家河村的脱贫攻坚任务，进一步巩固拓展了脱贫攻坚成果，工作队被评为2020年度全州先进州直驻村扶贫工作队；按照乡村振兴工作安排，落实了专抓班子，及时选派工作队进驻吉首市己略乡夯坨村乡村振兴点，并在经费、物资等方面给予全力保障，自5月进驻夯坨村以来，先后15次为主席会议成员深入扶贫村调研指导工作搞好了服务，结合“我为群众办实事”实践活动，组织机关干部入村结对帮扶走访慰问，协助工作队开展贫困户信息核实、宣传教育等工作，收集群众意见建议，解决群众实际问题，助力各项惠民政策落地落实，进一步夯实了工作基础。我委与州政协专委会党支部联合组织州民族中医院医生护士深入吉首市己略乡夯坨村开展扶贫送医下乡活动，为行动不便的在家村民上门义诊、送医送药，给村民们送去关怀和温暖，为州政协机关开展乡村振兴工作贡献力量。</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2</w:t>
      </w:r>
      <w:r>
        <w:rPr>
          <w:rFonts w:hint="eastAsia" w:ascii="仿宋" w:hAnsi="仿宋" w:eastAsia="仿宋" w:cs="仿宋"/>
          <w:b/>
          <w:color w:val="auto"/>
          <w:sz w:val="30"/>
          <w:szCs w:val="30"/>
        </w:rPr>
        <w:t>.3 可持续影响指标</w:t>
      </w:r>
    </w:p>
    <w:p>
      <w:pPr>
        <w:pStyle w:val="22"/>
        <w:widowControl/>
        <w:spacing w:before="0" w:beforeAutospacing="0" w:after="0" w:afterAutospacing="0" w:line="600" w:lineRule="exact"/>
        <w:ind w:left="0" w:right="0" w:firstLine="600" w:firstLineChars="200"/>
        <w:jc w:val="both"/>
        <w:rPr>
          <w:rFonts w:hint="eastAsia" w:ascii="仿宋" w:hAnsi="仿宋" w:eastAsia="仿宋" w:cs="仿宋"/>
          <w:bCs/>
          <w:color w:val="auto"/>
          <w:sz w:val="30"/>
          <w:szCs w:val="30"/>
          <w:lang w:val="en-US" w:eastAsia="zh-CN"/>
        </w:rPr>
      </w:pPr>
      <w:r>
        <w:rPr>
          <w:rFonts w:hint="eastAsia" w:ascii="仿宋" w:hAnsi="仿宋" w:eastAsia="仿宋" w:cs="仿宋"/>
          <w:bCs/>
          <w:color w:val="auto"/>
          <w:sz w:val="30"/>
          <w:szCs w:val="30"/>
        </w:rPr>
        <w:t>20</w:t>
      </w:r>
      <w:r>
        <w:rPr>
          <w:rFonts w:hint="eastAsia" w:ascii="仿宋" w:hAnsi="仿宋" w:eastAsia="仿宋" w:cs="仿宋"/>
          <w:bCs/>
          <w:color w:val="auto"/>
          <w:sz w:val="30"/>
          <w:szCs w:val="30"/>
          <w:lang w:val="en-US" w:eastAsia="zh-CN"/>
        </w:rPr>
        <w:t>21</w:t>
      </w:r>
      <w:r>
        <w:rPr>
          <w:rFonts w:hint="eastAsia" w:ascii="仿宋" w:hAnsi="仿宋" w:eastAsia="仿宋" w:cs="仿宋"/>
          <w:bCs/>
          <w:color w:val="auto"/>
          <w:sz w:val="30"/>
          <w:szCs w:val="30"/>
        </w:rPr>
        <w:t>年本</w:t>
      </w:r>
      <w:r>
        <w:rPr>
          <w:rFonts w:hint="eastAsia" w:ascii="仿宋" w:hAnsi="仿宋" w:eastAsia="仿宋" w:cs="仿宋"/>
          <w:bCs/>
          <w:color w:val="auto"/>
          <w:sz w:val="30"/>
          <w:szCs w:val="30"/>
          <w:lang w:val="en-US" w:eastAsia="zh-CN"/>
        </w:rPr>
        <w:t>部门</w:t>
      </w:r>
      <w:r>
        <w:rPr>
          <w:rFonts w:hint="eastAsia" w:ascii="仿宋" w:hAnsi="仿宋" w:eastAsia="仿宋" w:cs="仿宋"/>
          <w:bCs/>
          <w:color w:val="auto"/>
          <w:sz w:val="30"/>
          <w:szCs w:val="30"/>
        </w:rPr>
        <w:t>不断巩固省级文明单位创建成果，积极开展一系列文明创建和民族团结进步活动，举办了中华传统（民族）文化进机关、青年志愿者服务、2021年第一期道德讲堂及庆祝建党100周年系列活动，</w:t>
      </w:r>
      <w:r>
        <w:rPr>
          <w:rFonts w:hint="eastAsia" w:ascii="仿宋" w:hAnsi="仿宋" w:eastAsia="仿宋" w:cs="仿宋"/>
          <w:bCs/>
          <w:color w:val="auto"/>
          <w:sz w:val="30"/>
          <w:szCs w:val="30"/>
          <w:lang w:eastAsia="zh-CN"/>
        </w:rPr>
        <w:t>做好机关平安建设工作，与机关各委室签订了平安建设责任状，开展了消防知识培训，营造了平安和谐稳定工作环境。</w:t>
      </w:r>
    </w:p>
    <w:p>
      <w:pPr>
        <w:spacing w:before="183" w:beforeLines="50" w:after="0" w:line="580" w:lineRule="exact"/>
        <w:jc w:val="both"/>
        <w:outlineLvl w:val="0"/>
        <w:rPr>
          <w:rFonts w:hint="eastAsia" w:ascii="仿宋" w:hAnsi="仿宋" w:eastAsia="仿宋" w:cs="仿宋"/>
          <w:b/>
          <w:color w:val="auto"/>
          <w:sz w:val="30"/>
          <w:szCs w:val="30"/>
          <w:lang w:val="en-US" w:eastAsia="zh-CN"/>
        </w:rPr>
      </w:pPr>
      <w:r>
        <w:rPr>
          <w:rFonts w:hint="eastAsia" w:ascii="仿宋" w:hAnsi="仿宋" w:eastAsia="仿宋" w:cs="仿宋"/>
          <w:b/>
          <w:color w:val="auto"/>
          <w:sz w:val="30"/>
          <w:szCs w:val="30"/>
          <w:lang w:val="en-US" w:eastAsia="zh-CN"/>
        </w:rPr>
        <w:t xml:space="preserve">3、满意度指标（10分，得10分） </w:t>
      </w:r>
    </w:p>
    <w:p>
      <w:pPr>
        <w:spacing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3.1</w:t>
      </w:r>
      <w:r>
        <w:rPr>
          <w:rFonts w:hint="eastAsia" w:ascii="仿宋" w:hAnsi="仿宋" w:eastAsia="仿宋" w:cs="仿宋"/>
          <w:b/>
          <w:color w:val="auto"/>
          <w:sz w:val="30"/>
          <w:szCs w:val="30"/>
        </w:rPr>
        <w:t>社会公众或服务对象满意度</w:t>
      </w:r>
    </w:p>
    <w:p>
      <w:pPr>
        <w:spacing w:after="0" w:line="580" w:lineRule="exact"/>
        <w:ind w:firstLine="600" w:firstLineChars="200"/>
        <w:jc w:val="both"/>
        <w:rPr>
          <w:rFonts w:hint="eastAsia" w:ascii="仿宋" w:hAnsi="仿宋" w:eastAsia="仿宋" w:cs="仿宋"/>
          <w:bCs/>
          <w:color w:val="auto"/>
          <w:sz w:val="30"/>
          <w:szCs w:val="30"/>
        </w:rPr>
      </w:pPr>
      <w:r>
        <w:rPr>
          <w:rFonts w:hint="eastAsia" w:ascii="仿宋" w:hAnsi="仿宋" w:eastAsia="仿宋" w:cs="仿宋"/>
          <w:bCs/>
          <w:color w:val="auto"/>
          <w:sz w:val="30"/>
          <w:szCs w:val="30"/>
        </w:rPr>
        <w:t>本次通过对社会群众、服务对象、</w:t>
      </w:r>
      <w:r>
        <w:rPr>
          <w:rFonts w:hint="eastAsia" w:ascii="仿宋" w:hAnsi="仿宋" w:eastAsia="仿宋" w:cs="仿宋"/>
          <w:bCs/>
          <w:color w:val="auto"/>
          <w:sz w:val="30"/>
          <w:szCs w:val="30"/>
          <w:lang w:val="en-US" w:eastAsia="zh-CN"/>
        </w:rPr>
        <w:t>单位</w:t>
      </w:r>
      <w:r>
        <w:rPr>
          <w:rFonts w:hint="eastAsia" w:ascii="仿宋" w:hAnsi="仿宋" w:eastAsia="仿宋" w:cs="仿宋"/>
          <w:bCs/>
          <w:color w:val="auto"/>
          <w:sz w:val="30"/>
          <w:szCs w:val="30"/>
        </w:rPr>
        <w:t>内部进行问卷调查，</w:t>
      </w:r>
      <w:r>
        <w:rPr>
          <w:rFonts w:hint="eastAsia" w:ascii="仿宋" w:hAnsi="仿宋" w:eastAsia="仿宋" w:cs="仿宋"/>
          <w:bCs/>
          <w:color w:val="auto"/>
          <w:sz w:val="30"/>
          <w:szCs w:val="30"/>
          <w:lang w:val="en-US" w:eastAsia="zh-CN"/>
        </w:rPr>
        <w:t>调查满意度达到97%。</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七、综合评价情况及评价结论</w:t>
      </w:r>
    </w:p>
    <w:p>
      <w:pPr>
        <w:spacing w:after="0" w:line="580" w:lineRule="exact"/>
        <w:ind w:firstLine="600" w:firstLineChars="200"/>
        <w:jc w:val="both"/>
        <w:rPr>
          <w:rFonts w:hint="eastAsia" w:ascii="仿宋" w:hAnsi="仿宋" w:eastAsia="仿宋" w:cs="仿宋"/>
          <w:color w:val="auto"/>
          <w:sz w:val="28"/>
          <w:szCs w:val="28"/>
          <w:lang w:bidi="ar"/>
        </w:rPr>
      </w:pPr>
      <w:r>
        <w:rPr>
          <w:rFonts w:hint="eastAsia" w:ascii="仿宋" w:hAnsi="仿宋" w:eastAsia="仿宋" w:cs="仿宋"/>
          <w:bCs/>
          <w:color w:val="auto"/>
          <w:sz w:val="30"/>
          <w:szCs w:val="30"/>
          <w:lang w:val="en-US" w:eastAsia="zh-CN"/>
        </w:rPr>
        <w:t>州政协2021年重点工作任务已按计划完成，各项工作任务开展符合部门职能职责的范围。本单位2021年</w:t>
      </w:r>
      <w:r>
        <w:rPr>
          <w:rFonts w:hint="eastAsia" w:ascii="仿宋" w:hAnsi="仿宋" w:eastAsia="仿宋" w:cs="仿宋"/>
          <w:bCs/>
          <w:color w:val="auto"/>
          <w:sz w:val="30"/>
          <w:szCs w:val="30"/>
        </w:rPr>
        <w:t>设定的2</w:t>
      </w:r>
      <w:r>
        <w:rPr>
          <w:rFonts w:hint="eastAsia" w:ascii="仿宋" w:hAnsi="仿宋" w:eastAsia="仿宋" w:cs="仿宋"/>
          <w:bCs/>
          <w:color w:val="auto"/>
          <w:sz w:val="30"/>
          <w:szCs w:val="30"/>
          <w:lang w:val="en-US" w:eastAsia="zh-CN"/>
        </w:rPr>
        <w:t>1</w:t>
      </w:r>
      <w:r>
        <w:rPr>
          <w:rFonts w:hint="eastAsia" w:ascii="仿宋" w:hAnsi="仿宋" w:eastAsia="仿宋" w:cs="仿宋"/>
          <w:bCs/>
          <w:color w:val="auto"/>
          <w:sz w:val="30"/>
          <w:szCs w:val="30"/>
        </w:rPr>
        <w:t>个绩效指标均已完成</w:t>
      </w:r>
      <w:r>
        <w:rPr>
          <w:rFonts w:hint="eastAsia" w:ascii="仿宋" w:hAnsi="仿宋" w:eastAsia="仿宋" w:cs="仿宋"/>
          <w:bCs/>
          <w:color w:val="auto"/>
          <w:sz w:val="30"/>
          <w:szCs w:val="30"/>
          <w:lang w:eastAsia="zh-CN"/>
        </w:rPr>
        <w:t>，</w:t>
      </w:r>
      <w:r>
        <w:rPr>
          <w:rFonts w:hint="eastAsia" w:ascii="仿宋" w:hAnsi="仿宋" w:eastAsia="仿宋" w:cs="仿宋"/>
          <w:bCs/>
          <w:color w:val="auto"/>
          <w:sz w:val="30"/>
          <w:szCs w:val="30"/>
        </w:rPr>
        <w:t>部门整体支出绩效自评得分为9</w:t>
      </w:r>
      <w:r>
        <w:rPr>
          <w:rFonts w:hint="eastAsia" w:ascii="仿宋" w:hAnsi="仿宋" w:eastAsia="仿宋" w:cs="仿宋"/>
          <w:bCs/>
          <w:color w:val="auto"/>
          <w:sz w:val="30"/>
          <w:szCs w:val="30"/>
          <w:lang w:val="en-US" w:eastAsia="zh-CN"/>
        </w:rPr>
        <w:t>7.9</w:t>
      </w:r>
      <w:r>
        <w:rPr>
          <w:rFonts w:hint="eastAsia" w:ascii="仿宋" w:hAnsi="仿宋" w:eastAsia="仿宋" w:cs="仿宋"/>
          <w:bCs/>
          <w:color w:val="auto"/>
          <w:sz w:val="30"/>
          <w:szCs w:val="30"/>
        </w:rPr>
        <w:t>分，其中：投入绩效</w:t>
      </w:r>
      <w:r>
        <w:rPr>
          <w:rFonts w:hint="eastAsia" w:ascii="仿宋" w:hAnsi="仿宋" w:eastAsia="仿宋" w:cs="仿宋"/>
          <w:bCs/>
          <w:color w:val="auto"/>
          <w:sz w:val="30"/>
          <w:szCs w:val="30"/>
          <w:lang w:val="en-US" w:eastAsia="zh-CN"/>
        </w:rPr>
        <w:t>9.9</w:t>
      </w:r>
      <w:r>
        <w:rPr>
          <w:rFonts w:hint="eastAsia" w:ascii="仿宋" w:hAnsi="仿宋" w:eastAsia="仿宋" w:cs="仿宋"/>
          <w:bCs/>
          <w:color w:val="auto"/>
          <w:sz w:val="30"/>
          <w:szCs w:val="30"/>
        </w:rPr>
        <w:t>分，产出</w:t>
      </w:r>
      <w:r>
        <w:rPr>
          <w:rFonts w:hint="eastAsia" w:ascii="仿宋" w:hAnsi="仿宋" w:eastAsia="仿宋" w:cs="仿宋"/>
          <w:bCs/>
          <w:color w:val="auto"/>
          <w:sz w:val="30"/>
          <w:szCs w:val="30"/>
          <w:lang w:val="en-US" w:eastAsia="zh-CN"/>
        </w:rPr>
        <w:t>50</w:t>
      </w:r>
      <w:r>
        <w:rPr>
          <w:rFonts w:hint="eastAsia" w:ascii="仿宋" w:hAnsi="仿宋" w:eastAsia="仿宋" w:cs="仿宋"/>
          <w:bCs/>
          <w:color w:val="auto"/>
          <w:sz w:val="30"/>
          <w:szCs w:val="30"/>
        </w:rPr>
        <w:t>分</w:t>
      </w:r>
      <w:r>
        <w:rPr>
          <w:rFonts w:hint="eastAsia" w:ascii="仿宋" w:hAnsi="仿宋" w:eastAsia="仿宋" w:cs="仿宋"/>
          <w:bCs/>
          <w:color w:val="auto"/>
          <w:sz w:val="30"/>
          <w:szCs w:val="30"/>
          <w:lang w:eastAsia="zh-CN"/>
        </w:rPr>
        <w:t>、</w:t>
      </w:r>
      <w:r>
        <w:rPr>
          <w:rFonts w:hint="eastAsia" w:ascii="仿宋" w:hAnsi="仿宋" w:eastAsia="仿宋" w:cs="仿宋"/>
          <w:bCs/>
          <w:color w:val="auto"/>
          <w:sz w:val="30"/>
          <w:szCs w:val="30"/>
          <w:lang w:val="en-US" w:eastAsia="zh-CN"/>
        </w:rPr>
        <w:t>效益</w:t>
      </w:r>
      <w:r>
        <w:rPr>
          <w:rFonts w:hint="default" w:ascii="仿宋" w:hAnsi="仿宋" w:eastAsia="仿宋" w:cs="仿宋"/>
          <w:bCs/>
          <w:color w:val="auto"/>
          <w:sz w:val="30"/>
          <w:szCs w:val="30"/>
          <w:lang w:val="en-US" w:eastAsia="zh-CN"/>
        </w:rPr>
        <w:t>28</w:t>
      </w:r>
      <w:r>
        <w:rPr>
          <w:rFonts w:hint="eastAsia" w:ascii="仿宋" w:hAnsi="仿宋" w:eastAsia="仿宋" w:cs="仿宋"/>
          <w:bCs/>
          <w:color w:val="auto"/>
          <w:sz w:val="30"/>
          <w:szCs w:val="30"/>
        </w:rPr>
        <w:t>分，</w:t>
      </w:r>
      <w:r>
        <w:rPr>
          <w:rFonts w:hint="eastAsia" w:ascii="仿宋" w:hAnsi="仿宋" w:eastAsia="仿宋" w:cs="仿宋"/>
          <w:bCs/>
          <w:color w:val="auto"/>
          <w:sz w:val="30"/>
          <w:szCs w:val="30"/>
          <w:lang w:val="en-US" w:eastAsia="zh-CN"/>
        </w:rPr>
        <w:t>满意度10</w:t>
      </w:r>
      <w:r>
        <w:rPr>
          <w:rFonts w:hint="eastAsia" w:ascii="仿宋" w:hAnsi="仿宋" w:eastAsia="仿宋" w:cs="仿宋"/>
          <w:bCs/>
          <w:color w:val="auto"/>
          <w:sz w:val="30"/>
          <w:szCs w:val="30"/>
        </w:rPr>
        <w:t>分</w:t>
      </w:r>
      <w:r>
        <w:rPr>
          <w:rFonts w:hint="eastAsia" w:ascii="仿宋" w:hAnsi="仿宋" w:eastAsia="仿宋" w:cs="仿宋"/>
          <w:bCs/>
          <w:color w:val="auto"/>
          <w:sz w:val="30"/>
          <w:szCs w:val="30"/>
          <w:lang w:eastAsia="zh-CN"/>
        </w:rPr>
        <w:t>，本单位</w:t>
      </w:r>
      <w:r>
        <w:rPr>
          <w:rFonts w:hint="eastAsia" w:ascii="仿宋" w:hAnsi="仿宋" w:eastAsia="仿宋" w:cs="仿宋"/>
          <w:bCs/>
          <w:color w:val="auto"/>
          <w:sz w:val="30"/>
          <w:szCs w:val="30"/>
        </w:rPr>
        <w:t>评价结果等次为“优”。详细评审评分见附件</w:t>
      </w:r>
      <w:r>
        <w:rPr>
          <w:rFonts w:hint="eastAsia" w:ascii="仿宋" w:hAnsi="仿宋" w:eastAsia="仿宋" w:cs="仿宋"/>
          <w:bCs/>
          <w:color w:val="auto"/>
          <w:sz w:val="30"/>
          <w:szCs w:val="30"/>
          <w:lang w:val="en-US" w:eastAsia="zh-CN"/>
        </w:rPr>
        <w:t>3</w:t>
      </w:r>
      <w:r>
        <w:rPr>
          <w:rFonts w:hint="eastAsia" w:ascii="仿宋" w:hAnsi="仿宋" w:eastAsia="仿宋" w:cs="仿宋"/>
          <w:bCs/>
          <w:color w:val="auto"/>
          <w:sz w:val="30"/>
          <w:szCs w:val="30"/>
        </w:rPr>
        <w:t>【2020州级预算部门整体支出绩效自评表】</w:t>
      </w:r>
    </w:p>
    <w:tbl>
      <w:tblPr>
        <w:tblStyle w:val="24"/>
        <w:tblW w:w="8466" w:type="dxa"/>
        <w:tblInd w:w="8"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30" w:type="dxa"/>
          <w:left w:w="30" w:type="dxa"/>
          <w:bottom w:w="30" w:type="dxa"/>
          <w:right w:w="30" w:type="dxa"/>
        </w:tblCellMar>
      </w:tblPr>
      <w:tblGrid>
        <w:gridCol w:w="2063"/>
        <w:gridCol w:w="2064"/>
        <w:gridCol w:w="2064"/>
        <w:gridCol w:w="227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val="0"/>
              <w:suppressLineNumbers w:val="0"/>
              <w:spacing w:before="0" w:beforeAutospacing="0" w:after="0" w:afterAutospacing="0" w:line="300" w:lineRule="exact"/>
              <w:ind w:left="0" w:right="0"/>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一级指标</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val="0"/>
              <w:suppressLineNumbers w:val="0"/>
              <w:spacing w:before="0" w:beforeAutospacing="0" w:after="0" w:afterAutospacing="0" w:line="300" w:lineRule="exact"/>
              <w:ind w:left="0" w:right="0"/>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指标分值</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val="0"/>
              <w:suppressLineNumbers w:val="0"/>
              <w:spacing w:before="0" w:beforeAutospacing="0" w:after="0" w:afterAutospacing="0" w:line="300" w:lineRule="exact"/>
              <w:ind w:left="0" w:right="0"/>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自评得分</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val="0"/>
              <w:suppressLineNumbers w:val="0"/>
              <w:spacing w:before="0" w:beforeAutospacing="0" w:after="0" w:afterAutospacing="0" w:line="300" w:lineRule="exact"/>
              <w:ind w:left="0" w:right="0"/>
              <w:jc w:val="center"/>
              <w:rPr>
                <w:rFonts w:hint="eastAsia" w:ascii="仿宋" w:hAnsi="仿宋" w:eastAsia="仿宋" w:cs="仿宋"/>
                <w:b/>
                <w:bCs/>
                <w:color w:val="auto"/>
                <w:kern w:val="2"/>
                <w:sz w:val="21"/>
                <w:szCs w:val="21"/>
              </w:rPr>
            </w:pPr>
            <w:r>
              <w:rPr>
                <w:rFonts w:hint="eastAsia" w:ascii="仿宋" w:hAnsi="仿宋" w:eastAsia="仿宋" w:cs="仿宋"/>
                <w:b/>
                <w:bCs/>
                <w:color w:val="auto"/>
                <w:kern w:val="2"/>
                <w:sz w:val="21"/>
                <w:szCs w:val="21"/>
              </w:rPr>
              <w:t>得分率</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投入</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9.90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99</w:t>
            </w:r>
            <w:r>
              <w:rPr>
                <w:rFonts w:hint="eastAsia" w:ascii="仿宋" w:hAnsi="仿宋" w:eastAsia="仿宋" w:cs="仿宋"/>
                <w:color w:val="auto"/>
                <w:kern w:val="0"/>
                <w:sz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64"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产出</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50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50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100</w:t>
            </w:r>
            <w:r>
              <w:rPr>
                <w:rFonts w:hint="eastAsia" w:ascii="仿宋" w:hAnsi="仿宋" w:eastAsia="仿宋" w:cs="仿宋"/>
                <w:color w:val="auto"/>
                <w:kern w:val="0"/>
                <w:sz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效益</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30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default" w:ascii="仿宋" w:hAnsi="仿宋" w:eastAsia="仿宋" w:cs="仿宋"/>
                <w:color w:val="auto"/>
                <w:kern w:val="0"/>
                <w:sz w:val="24"/>
                <w:lang w:val="en-US"/>
              </w:rPr>
            </w:pPr>
            <w:r>
              <w:rPr>
                <w:rFonts w:hint="default" w:ascii="仿宋" w:hAnsi="仿宋" w:eastAsia="仿宋" w:cs="仿宋"/>
                <w:color w:val="auto"/>
                <w:kern w:val="0"/>
                <w:sz w:val="24"/>
                <w:lang w:val="en-US"/>
              </w:rPr>
              <w:t>28</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93</w:t>
            </w:r>
            <w:r>
              <w:rPr>
                <w:rFonts w:hint="eastAsia" w:ascii="仿宋" w:hAnsi="仿宋" w:eastAsia="仿宋" w:cs="仿宋"/>
                <w:color w:val="auto"/>
                <w:kern w:val="0"/>
                <w:sz w:val="24"/>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满意度</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100%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合计</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rPr>
              <w:t>100</w:t>
            </w:r>
          </w:p>
        </w:tc>
        <w:tc>
          <w:tcPr>
            <w:tcW w:w="0" w:type="auto"/>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97.90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widowControl/>
              <w:suppressLineNumbers w:val="0"/>
              <w:spacing w:before="75" w:beforeAutospacing="0" w:after="75" w:afterAutospacing="0"/>
              <w:ind w:left="0" w:right="0"/>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97.9</w:t>
            </w:r>
            <w:r>
              <w:rPr>
                <w:rFonts w:hint="eastAsia" w:ascii="仿宋" w:hAnsi="仿宋" w:eastAsia="仿宋" w:cs="仿宋"/>
                <w:color w:val="auto"/>
                <w:kern w:val="0"/>
                <w:sz w:val="24"/>
              </w:rPr>
              <w:t>%</w:t>
            </w:r>
          </w:p>
        </w:tc>
      </w:tr>
    </w:tbl>
    <w:p>
      <w:pPr>
        <w:spacing w:after="0" w:line="580" w:lineRule="exact"/>
        <w:ind w:firstLine="560" w:firstLineChars="200"/>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rPr>
        <w:t>备注：详细评分见州级预算部门整体支出绩效自评表</w:t>
      </w:r>
      <w:r>
        <w:rPr>
          <w:rFonts w:hint="eastAsia" w:ascii="仿宋" w:hAnsi="仿宋" w:eastAsia="仿宋" w:cs="仿宋"/>
          <w:b w:val="0"/>
          <w:bCs w:val="0"/>
          <w:color w:val="auto"/>
          <w:sz w:val="28"/>
          <w:szCs w:val="28"/>
          <w:lang w:eastAsia="zh-CN"/>
        </w:rPr>
        <w:t>。</w:t>
      </w:r>
    </w:p>
    <w:p>
      <w:pPr>
        <w:spacing w:before="183" w:beforeLines="50" w:after="0" w:line="580" w:lineRule="exact"/>
        <w:jc w:val="both"/>
        <w:outlineLvl w:val="0"/>
        <w:rPr>
          <w:rFonts w:hint="eastAsia" w:ascii="仿宋" w:hAnsi="仿宋" w:eastAsia="仿宋" w:cs="仿宋"/>
          <w:b/>
          <w:color w:val="auto"/>
          <w:sz w:val="30"/>
          <w:szCs w:val="30"/>
          <w:lang w:val="en-US" w:eastAsia="zh-CN"/>
        </w:rPr>
      </w:pPr>
      <w:bookmarkStart w:id="5" w:name="_Hlk72887583"/>
      <w:r>
        <w:rPr>
          <w:rFonts w:hint="eastAsia" w:ascii="仿宋" w:hAnsi="仿宋" w:eastAsia="仿宋" w:cs="仿宋"/>
          <w:b/>
          <w:color w:val="auto"/>
          <w:sz w:val="30"/>
          <w:szCs w:val="30"/>
          <w:lang w:val="en-US" w:eastAsia="zh-CN"/>
        </w:rPr>
        <w:t>八、</w:t>
      </w:r>
      <w:r>
        <w:rPr>
          <w:rFonts w:hint="eastAsia" w:ascii="仿宋" w:hAnsi="仿宋" w:eastAsia="仿宋" w:cs="仿宋"/>
          <w:b/>
          <w:color w:val="auto"/>
          <w:sz w:val="30"/>
          <w:szCs w:val="30"/>
        </w:rPr>
        <w:t>主要经验做法</w:t>
      </w:r>
      <w:bookmarkEnd w:id="5"/>
      <w:r>
        <w:rPr>
          <w:rFonts w:hint="eastAsia" w:ascii="仿宋" w:hAnsi="仿宋" w:eastAsia="仿宋" w:cs="仿宋"/>
          <w:b/>
          <w:color w:val="auto"/>
          <w:sz w:val="30"/>
          <w:szCs w:val="30"/>
        </w:rPr>
        <w:t>、存在的问题及原因分析</w:t>
      </w:r>
    </w:p>
    <w:p>
      <w:pPr>
        <w:adjustRightInd w:val="0"/>
        <w:snapToGrid w:val="0"/>
        <w:spacing w:line="600" w:lineRule="exact"/>
        <w:rPr>
          <w:rFonts w:hint="eastAsia" w:ascii="仿宋" w:hAnsi="仿宋" w:eastAsia="仿宋" w:cs="仿宋"/>
          <w:b/>
          <w:bCs/>
          <w:color w:val="auto"/>
          <w:sz w:val="28"/>
          <w:szCs w:val="28"/>
        </w:rPr>
      </w:pPr>
      <w:r>
        <w:rPr>
          <w:rFonts w:hint="eastAsia" w:ascii="仿宋" w:hAnsi="仿宋" w:eastAsia="仿宋" w:cs="仿宋"/>
          <w:b/>
          <w:bCs/>
          <w:color w:val="auto"/>
          <w:sz w:val="28"/>
          <w:szCs w:val="28"/>
        </w:rPr>
        <w:t>1、主要经验做法</w:t>
      </w:r>
    </w:p>
    <w:p>
      <w:pPr>
        <w:adjustRightInd w:val="0"/>
        <w:snapToGrid w:val="0"/>
        <w:spacing w:line="600" w:lineRule="exact"/>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不断完善部门绩效目标指标，在共性目标指表上，不断设置部门的特定指标</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不断</w:t>
      </w:r>
      <w:r>
        <w:rPr>
          <w:rFonts w:hint="eastAsia" w:ascii="仿宋" w:hAnsi="仿宋" w:eastAsia="仿宋" w:cs="仿宋"/>
          <w:b w:val="0"/>
          <w:bCs w:val="0"/>
          <w:color w:val="auto"/>
          <w:sz w:val="28"/>
          <w:szCs w:val="28"/>
        </w:rPr>
        <w:t>完善部门预算绩效管理工作领导小组，负责组织、协调、评价、考核、管理预算绩效相关工作</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强化绩效考评力度，不断深挖绩效潜力，促进财政预算管控越来越严，越来越规范</w:t>
      </w:r>
      <w:r>
        <w:rPr>
          <w:rFonts w:hint="eastAsia" w:ascii="仿宋" w:hAnsi="仿宋" w:eastAsia="仿宋" w:cs="仿宋"/>
          <w:b w:val="0"/>
          <w:bCs w:val="0"/>
          <w:color w:val="auto"/>
          <w:sz w:val="28"/>
          <w:szCs w:val="28"/>
        </w:rPr>
        <w:t>。</w:t>
      </w:r>
    </w:p>
    <w:p>
      <w:pPr>
        <w:numPr>
          <w:ilvl w:val="0"/>
          <w:numId w:val="5"/>
        </w:num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存在的问题</w:t>
      </w:r>
    </w:p>
    <w:p>
      <w:pPr>
        <w:numPr>
          <w:ilvl w:val="0"/>
          <w:numId w:val="6"/>
        </w:numPr>
        <w:spacing w:before="183" w:beforeLines="50" w:after="0" w:line="580" w:lineRule="exact"/>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财政预算资金统筹管理使用有待加强。因各种客观因素限制，预算资金支出进度不均衡。</w:t>
      </w:r>
    </w:p>
    <w:p>
      <w:pPr>
        <w:numPr>
          <w:ilvl w:val="0"/>
          <w:numId w:val="6"/>
        </w:numPr>
        <w:spacing w:before="183" w:beforeLines="50" w:after="0" w:line="580" w:lineRule="exact"/>
        <w:jc w:val="both"/>
        <w:outlineLvl w:val="0"/>
        <w:rPr>
          <w:rFonts w:hint="default"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部门</w:t>
      </w:r>
      <w:r>
        <w:rPr>
          <w:rFonts w:hint="eastAsia" w:ascii="仿宋" w:hAnsi="仿宋" w:eastAsia="仿宋" w:cs="仿宋"/>
          <w:b w:val="0"/>
          <w:bCs/>
          <w:color w:val="auto"/>
          <w:sz w:val="30"/>
          <w:szCs w:val="30"/>
        </w:rPr>
        <w:t>绩效目标设定的科学性、时效性有待加强；</w:t>
      </w:r>
      <w:r>
        <w:rPr>
          <w:rFonts w:hint="eastAsia" w:ascii="仿宋" w:hAnsi="仿宋" w:eastAsia="仿宋" w:cs="仿宋"/>
          <w:b w:val="0"/>
          <w:bCs/>
          <w:color w:val="auto"/>
          <w:sz w:val="30"/>
          <w:szCs w:val="30"/>
          <w:lang w:val="en-US" w:eastAsia="zh-CN"/>
        </w:rPr>
        <w:t>年度部门整体目标设置笼统，没有数量、质量指标，年度绩效自评难以进行指标对比分析；近两年不断调整和修改指标体系，部门指标体系不稳定，无法形成固定的横向、纵向对比分析。</w:t>
      </w:r>
    </w:p>
    <w:p>
      <w:pPr>
        <w:numPr>
          <w:ilvl w:val="0"/>
          <w:numId w:val="5"/>
        </w:numPr>
        <w:spacing w:before="183" w:beforeLines="50" w:after="0" w:line="580" w:lineRule="exact"/>
        <w:ind w:left="0" w:leftChars="0" w:firstLine="0" w:firstLineChars="0"/>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原因分析</w:t>
      </w:r>
    </w:p>
    <w:p>
      <w:pPr>
        <w:numPr>
          <w:ilvl w:val="0"/>
          <w:numId w:val="0"/>
        </w:numPr>
        <w:spacing w:before="183" w:beforeLines="50" w:after="0" w:line="580" w:lineRule="exact"/>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（1）部门绩效管理理念不强，预算绩效管理主体责任意识有待提高，绩效管理工作还存在被动情况。</w:t>
      </w:r>
    </w:p>
    <w:p>
      <w:pPr>
        <w:numPr>
          <w:ilvl w:val="0"/>
          <w:numId w:val="0"/>
        </w:numPr>
        <w:spacing w:before="183" w:beforeLines="50" w:after="0" w:line="580" w:lineRule="exact"/>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（2）因本部门不断尝试设置部门特定的指标，造成部门指标体系不断变化；部门目标设定经验不足，绩效评价指标知识缺乏和学习不够。</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九、有关建议</w:t>
      </w:r>
    </w:p>
    <w:p>
      <w:pPr>
        <w:spacing w:before="183" w:beforeLines="50" w:after="0" w:line="580" w:lineRule="exact"/>
        <w:jc w:val="both"/>
        <w:outlineLvl w:val="0"/>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1、加强预算编制。严格按照预算编制的相关制度和要求以及本部门下一年度的工作计划，细化编制部门预算，提高预算编制的科学性、合理性和严谨性。</w:t>
      </w:r>
    </w:p>
    <w:p>
      <w:pPr>
        <w:spacing w:before="183" w:beforeLines="50" w:after="0" w:line="580" w:lineRule="exact"/>
        <w:jc w:val="both"/>
        <w:outlineLvl w:val="0"/>
        <w:rPr>
          <w:rFonts w:hint="default"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增强绩效管理意识，强化绩效管理工作队伍建设。对全体人员开展预算绩效管理培训，培训内容涵盖前期绩效目标编制、过程绩效跟踪、后期绩效自评及结果应用等方面，增强部门人员预算绩效管理意识，提高预算绩效管理工作质量，进一步推进部门预算绩效管理工作。</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十、绩效自评结果拟应用和公开情况</w:t>
      </w:r>
    </w:p>
    <w:p>
      <w:pPr>
        <w:spacing w:before="183" w:beforeLines="50" w:after="0" w:line="580" w:lineRule="exact"/>
        <w:ind w:firstLine="600" w:firstLineChars="200"/>
        <w:jc w:val="both"/>
        <w:outlineLvl w:val="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本部门重视预算绩效评价结果的应用和公开。</w:t>
      </w:r>
      <w:r>
        <w:rPr>
          <w:rFonts w:hint="eastAsia" w:ascii="仿宋" w:hAnsi="仿宋" w:eastAsia="仿宋" w:cs="仿宋"/>
          <w:color w:val="auto"/>
          <w:sz w:val="30"/>
          <w:szCs w:val="30"/>
        </w:rPr>
        <w:t>按照规定的</w:t>
      </w:r>
      <w:r>
        <w:rPr>
          <w:rFonts w:hint="eastAsia" w:ascii="仿宋" w:hAnsi="仿宋" w:eastAsia="仿宋" w:cs="仿宋"/>
          <w:color w:val="auto"/>
          <w:sz w:val="30"/>
          <w:szCs w:val="30"/>
          <w:lang w:val="en-US" w:eastAsia="zh-CN"/>
        </w:rPr>
        <w:t>统一时点</w:t>
      </w:r>
      <w:r>
        <w:rPr>
          <w:rFonts w:hint="eastAsia" w:ascii="仿宋" w:hAnsi="仿宋" w:eastAsia="仿宋" w:cs="仿宋"/>
          <w:color w:val="auto"/>
          <w:sz w:val="30"/>
          <w:szCs w:val="30"/>
        </w:rPr>
        <w:t>和要求报送财政部门审核，针对财政部门的反馈意见，认真抓好整改落实，并将部门预算绩效评价结果进行公开公示，接受社会监督。202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年将进一步加大预算绩效管理力度，扎实开展预算绩效管理工作，将预算绩效自评价结果作为改进预算管理和安排以后年度预算的重要依据。</w:t>
      </w:r>
    </w:p>
    <w:p>
      <w:pPr>
        <w:spacing w:before="183" w:beforeLines="50" w:after="0" w:line="580" w:lineRule="exact"/>
        <w:jc w:val="both"/>
        <w:outlineLvl w:val="0"/>
        <w:rPr>
          <w:rFonts w:hint="eastAsia" w:ascii="仿宋" w:hAnsi="仿宋" w:eastAsia="仿宋" w:cs="仿宋"/>
          <w:b/>
          <w:color w:val="auto"/>
          <w:sz w:val="30"/>
          <w:szCs w:val="30"/>
        </w:rPr>
      </w:pPr>
      <w:r>
        <w:rPr>
          <w:rFonts w:hint="eastAsia" w:ascii="仿宋" w:hAnsi="仿宋" w:eastAsia="仿宋" w:cs="仿宋"/>
          <w:b/>
          <w:color w:val="auto"/>
          <w:sz w:val="30"/>
          <w:szCs w:val="30"/>
        </w:rPr>
        <w:t>十一、其他需要说明的问题</w:t>
      </w:r>
    </w:p>
    <w:p>
      <w:pPr>
        <w:spacing w:line="600" w:lineRule="exact"/>
        <w:ind w:firstLine="56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28"/>
          <w:szCs w:val="28"/>
        </w:rPr>
        <w:t>无</w:t>
      </w:r>
      <w:bookmarkStart w:id="6" w:name="_Toc5069"/>
      <w:bookmarkStart w:id="7" w:name="_Toc7386"/>
      <w:bookmarkStart w:id="8" w:name="_Toc5751"/>
    </w:p>
    <w:p>
      <w:pPr>
        <w:spacing w:after="0" w:line="580" w:lineRule="exact"/>
        <w:jc w:val="both"/>
        <w:outlineLvl w:val="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附件：</w:t>
      </w:r>
    </w:p>
    <w:p>
      <w:pPr>
        <w:spacing w:before="183" w:beforeLines="50" w:after="0" w:line="580" w:lineRule="exact"/>
        <w:ind w:left="0" w:leftChars="0" w:firstLine="0" w:firstLineChars="0"/>
        <w:jc w:val="both"/>
        <w:outlineLvl w:val="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rPr>
        <w:t>附件</w:t>
      </w:r>
      <w:r>
        <w:rPr>
          <w:rFonts w:hint="eastAsia" w:ascii="仿宋" w:hAnsi="仿宋" w:eastAsia="仿宋" w:cs="仿宋"/>
          <w:color w:val="auto"/>
          <w:sz w:val="30"/>
          <w:szCs w:val="30"/>
          <w:lang w:val="en-US" w:eastAsia="zh-CN"/>
        </w:rPr>
        <w:t xml:space="preserve">1 </w:t>
      </w:r>
      <w:r>
        <w:rPr>
          <w:rFonts w:hint="eastAsia" w:ascii="仿宋" w:hAnsi="仿宋" w:eastAsia="仿宋" w:cs="仿宋"/>
          <w:color w:val="auto"/>
          <w:sz w:val="30"/>
          <w:szCs w:val="30"/>
        </w:rPr>
        <w:t>州级预算部门整体支出绩效评价基础数据表</w:t>
      </w:r>
    </w:p>
    <w:p>
      <w:pPr>
        <w:keepNext w:val="0"/>
        <w:keepLines w:val="0"/>
        <w:pageBreakBefore w:val="0"/>
        <w:widowControl/>
        <w:kinsoku/>
        <w:wordWrap/>
        <w:overflowPunct/>
        <w:topLinePunct w:val="0"/>
        <w:autoSpaceDE/>
        <w:autoSpaceDN/>
        <w:bidi w:val="0"/>
        <w:adjustRightInd/>
        <w:snapToGrid/>
        <w:spacing w:after="0" w:line="580" w:lineRule="exact"/>
        <w:ind w:left="0" w:leftChars="0" w:firstLine="0" w:firstLineChars="0"/>
        <w:jc w:val="both"/>
        <w:textAlignment w:val="auto"/>
        <w:outlineLvl w:val="0"/>
        <w:rPr>
          <w:rFonts w:hint="eastAsia" w:ascii="仿宋" w:hAnsi="仿宋" w:eastAsia="仿宋" w:cs="仿宋"/>
          <w:color w:val="auto"/>
          <w:sz w:val="30"/>
          <w:szCs w:val="30"/>
        </w:rPr>
      </w:pPr>
      <w:r>
        <w:rPr>
          <w:rFonts w:hint="eastAsia" w:ascii="仿宋" w:hAnsi="仿宋" w:eastAsia="仿宋" w:cs="仿宋"/>
          <w:color w:val="auto"/>
          <w:sz w:val="30"/>
          <w:szCs w:val="30"/>
        </w:rPr>
        <w:t>附件</w:t>
      </w:r>
      <w:r>
        <w:rPr>
          <w:rFonts w:hint="eastAsia" w:ascii="仿宋" w:hAnsi="仿宋" w:eastAsia="仿宋" w:cs="仿宋"/>
          <w:color w:val="auto"/>
          <w:sz w:val="30"/>
          <w:szCs w:val="30"/>
          <w:lang w:val="en-US" w:eastAsia="zh-CN"/>
        </w:rPr>
        <w:t xml:space="preserve">2 </w:t>
      </w:r>
      <w:r>
        <w:rPr>
          <w:rFonts w:hint="eastAsia" w:ascii="仿宋" w:hAnsi="仿宋" w:eastAsia="仿宋" w:cs="仿宋"/>
          <w:color w:val="auto"/>
          <w:sz w:val="30"/>
          <w:szCs w:val="30"/>
        </w:rPr>
        <w:t>20</w:t>
      </w:r>
      <w:r>
        <w:rPr>
          <w:rFonts w:hint="eastAsia" w:ascii="仿宋" w:hAnsi="仿宋" w:eastAsia="仿宋" w:cs="仿宋"/>
          <w:color w:val="auto"/>
          <w:sz w:val="30"/>
          <w:szCs w:val="30"/>
          <w:lang w:val="en-US" w:eastAsia="zh-CN"/>
        </w:rPr>
        <w:t>2</w:t>
      </w:r>
      <w:bookmarkEnd w:id="6"/>
      <w:bookmarkEnd w:id="7"/>
      <w:bookmarkEnd w:id="8"/>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州级预算部门整体支出绩效自评表</w:t>
      </w:r>
    </w:p>
    <w:p>
      <w:pPr>
        <w:spacing w:after="0" w:line="580" w:lineRule="exact"/>
        <w:outlineLvl w:val="0"/>
        <w:rPr>
          <w:rFonts w:hint="eastAsia" w:ascii="仿宋" w:hAnsi="仿宋" w:eastAsia="仿宋" w:cs="仿宋"/>
          <w:color w:val="auto"/>
          <w:sz w:val="30"/>
          <w:szCs w:val="30"/>
        </w:rPr>
      </w:pPr>
      <w:r>
        <w:rPr>
          <w:rFonts w:hint="eastAsia" w:ascii="仿宋" w:hAnsi="仿宋" w:eastAsia="仿宋" w:cs="仿宋"/>
          <w:color w:val="auto"/>
          <w:sz w:val="30"/>
          <w:szCs w:val="30"/>
        </w:rPr>
        <w:t>附件</w:t>
      </w:r>
      <w:r>
        <w:rPr>
          <w:rFonts w:hint="eastAsia" w:ascii="仿宋" w:hAnsi="仿宋" w:eastAsia="仿宋" w:cs="仿宋"/>
          <w:color w:val="auto"/>
          <w:sz w:val="30"/>
          <w:szCs w:val="30"/>
          <w:lang w:val="en-US" w:eastAsia="zh-CN"/>
        </w:rPr>
        <w:t>3 湘西州政协办公室关于2021年度整体支出绩效评价的通知</w:t>
      </w:r>
      <w:r>
        <w:rPr>
          <w:rFonts w:hint="eastAsia" w:ascii="仿宋" w:hAnsi="仿宋" w:eastAsia="仿宋" w:cs="仿宋"/>
          <w:color w:val="auto"/>
          <w:sz w:val="30"/>
          <w:szCs w:val="30"/>
        </w:rPr>
        <w:t xml:space="preserve">　　　　　　　　　　　          </w:t>
      </w:r>
    </w:p>
    <w:p>
      <w:pPr>
        <w:spacing w:after="0" w:line="580" w:lineRule="exact"/>
        <w:jc w:val="both"/>
        <w:outlineLvl w:val="0"/>
        <w:rPr>
          <w:rFonts w:hint="eastAsia" w:ascii="仿宋" w:hAnsi="仿宋" w:eastAsia="仿宋" w:cs="仿宋"/>
          <w:color w:val="auto"/>
          <w:sz w:val="30"/>
          <w:szCs w:val="30"/>
        </w:rPr>
      </w:pPr>
    </w:p>
    <w:p>
      <w:pPr>
        <w:spacing w:after="0" w:line="580" w:lineRule="exact"/>
        <w:jc w:val="center"/>
        <w:outlineLvl w:val="0"/>
        <w:rPr>
          <w:rFonts w:hint="eastAsia" w:ascii="仿宋" w:hAnsi="仿宋" w:eastAsia="仿宋" w:cs="仿宋"/>
          <w:b/>
          <w:bCs/>
          <w:color w:val="auto"/>
          <w:sz w:val="30"/>
          <w:szCs w:val="30"/>
        </w:rPr>
      </w:pPr>
      <w:r>
        <w:rPr>
          <w:rFonts w:hint="eastAsia" w:ascii="仿宋" w:hAnsi="仿宋" w:eastAsia="仿宋" w:cs="仿宋"/>
          <w:color w:val="auto"/>
          <w:sz w:val="30"/>
          <w:szCs w:val="30"/>
        </w:rPr>
        <w:t xml:space="preserve">                           </w:t>
      </w:r>
      <w:r>
        <w:rPr>
          <w:rFonts w:hint="eastAsia" w:ascii="仿宋" w:hAnsi="仿宋" w:eastAsia="仿宋" w:cs="仿宋"/>
          <w:b/>
          <w:bCs/>
          <w:color w:val="auto"/>
          <w:sz w:val="30"/>
          <w:szCs w:val="30"/>
        </w:rPr>
        <w:t xml:space="preserve">    政协湘西自治州委员办公室</w:t>
      </w:r>
    </w:p>
    <w:p>
      <w:pPr>
        <w:spacing w:after="0" w:line="580" w:lineRule="exact"/>
        <w:jc w:val="both"/>
        <w:outlineLvl w:val="0"/>
        <w:rPr>
          <w:rFonts w:hint="eastAsia" w:ascii="仿宋" w:hAnsi="仿宋" w:eastAsia="仿宋" w:cs="仿宋"/>
          <w:b/>
          <w:bCs/>
          <w:color w:val="auto"/>
          <w:sz w:val="32"/>
          <w:szCs w:val="32"/>
        </w:rPr>
        <w:sectPr>
          <w:footerReference r:id="rId5" w:type="default"/>
          <w:pgSz w:w="11906" w:h="16838"/>
          <w:pgMar w:top="1440" w:right="1069" w:bottom="1702" w:left="1797" w:header="709" w:footer="709" w:gutter="0"/>
          <w:pgNumType w:start="1"/>
          <w:cols w:space="0" w:num="1"/>
          <w:docGrid w:type="lines" w:linePitch="367" w:charSpace="0"/>
        </w:sectPr>
      </w:pPr>
      <w:r>
        <w:rPr>
          <w:rFonts w:hint="eastAsia" w:ascii="仿宋" w:hAnsi="仿宋" w:eastAsia="仿宋" w:cs="仿宋"/>
          <w:b/>
          <w:bCs/>
          <w:color w:val="auto"/>
          <w:sz w:val="30"/>
          <w:szCs w:val="30"/>
        </w:rPr>
        <w:t xml:space="preserve">                                    二〇二</w:t>
      </w:r>
      <w:r>
        <w:rPr>
          <w:rFonts w:hint="eastAsia" w:ascii="仿宋" w:hAnsi="仿宋" w:eastAsia="仿宋" w:cs="仿宋"/>
          <w:b/>
          <w:bCs/>
          <w:color w:val="auto"/>
          <w:sz w:val="30"/>
          <w:szCs w:val="30"/>
          <w:lang w:val="en-US" w:eastAsia="zh-CN"/>
        </w:rPr>
        <w:t>二</w:t>
      </w:r>
      <w:r>
        <w:rPr>
          <w:rFonts w:hint="eastAsia" w:ascii="仿宋" w:hAnsi="仿宋" w:eastAsia="仿宋" w:cs="仿宋"/>
          <w:b/>
          <w:bCs/>
          <w:color w:val="auto"/>
          <w:sz w:val="30"/>
          <w:szCs w:val="30"/>
        </w:rPr>
        <w:t>年</w:t>
      </w:r>
      <w:r>
        <w:rPr>
          <w:rFonts w:hint="eastAsia" w:ascii="仿宋" w:hAnsi="仿宋" w:eastAsia="仿宋" w:cs="仿宋"/>
          <w:b/>
          <w:bCs/>
          <w:color w:val="auto"/>
          <w:sz w:val="30"/>
          <w:szCs w:val="30"/>
          <w:lang w:val="en-US" w:eastAsia="zh-CN"/>
        </w:rPr>
        <w:t>六</w:t>
      </w:r>
      <w:r>
        <w:rPr>
          <w:rFonts w:hint="eastAsia" w:ascii="仿宋" w:hAnsi="仿宋" w:eastAsia="仿宋" w:cs="仿宋"/>
          <w:b/>
          <w:bCs/>
          <w:color w:val="auto"/>
          <w:sz w:val="30"/>
          <w:szCs w:val="30"/>
        </w:rPr>
        <w:t>月</w:t>
      </w:r>
      <w:r>
        <w:rPr>
          <w:rFonts w:hint="eastAsia" w:ascii="仿宋" w:hAnsi="仿宋" w:eastAsia="仿宋" w:cs="仿宋"/>
          <w:b/>
          <w:bCs/>
          <w:color w:val="auto"/>
          <w:sz w:val="30"/>
          <w:szCs w:val="30"/>
          <w:lang w:val="en-US" w:eastAsia="zh-CN"/>
        </w:rPr>
        <w:t>十五</w:t>
      </w:r>
      <w:r>
        <w:rPr>
          <w:rFonts w:hint="eastAsia" w:ascii="仿宋" w:hAnsi="仿宋" w:eastAsia="仿宋" w:cs="仿宋"/>
          <w:b/>
          <w:bCs/>
          <w:color w:val="auto"/>
          <w:sz w:val="30"/>
          <w:szCs w:val="30"/>
        </w:rPr>
        <w:t>日</w:t>
      </w:r>
    </w:p>
    <w:p>
      <w:pPr>
        <w:jc w:val="center"/>
        <w:rPr>
          <w:rFonts w:hint="eastAsia" w:ascii="方正小标宋简体" w:hAnsi="方正小标宋简体" w:eastAsia="方正小标宋简体" w:cs="方正小标宋简体"/>
          <w:b/>
          <w:bCs/>
          <w:color w:val="auto"/>
          <w:sz w:val="32"/>
          <w:szCs w:val="32"/>
        </w:rPr>
      </w:pPr>
      <w:r>
        <w:rPr>
          <w:rFonts w:ascii="黑体" w:hAnsi="黑体" w:eastAsia="黑体"/>
          <w:b/>
          <w:bCs/>
          <w:color w:val="auto"/>
          <w:sz w:val="32"/>
          <w:szCs w:val="32"/>
        </w:rPr>
        <w:t>附件</w:t>
      </w:r>
      <w:r>
        <w:rPr>
          <w:rFonts w:hint="eastAsia" w:ascii="黑体" w:hAnsi="黑体" w:eastAsia="黑体"/>
          <w:b/>
          <w:bCs/>
          <w:color w:val="auto"/>
          <w:sz w:val="32"/>
          <w:szCs w:val="32"/>
          <w:lang w:val="en-US" w:eastAsia="zh-CN"/>
        </w:rPr>
        <w:t>1</w:t>
      </w:r>
      <w:r>
        <w:rPr>
          <w:rFonts w:hint="eastAsia" w:ascii="黑体" w:hAnsi="黑体" w:eastAsia="黑体"/>
          <w:b/>
          <w:bCs/>
          <w:color w:val="auto"/>
          <w:sz w:val="32"/>
          <w:szCs w:val="32"/>
        </w:rPr>
        <w:t>：</w:t>
      </w:r>
      <w:r>
        <w:rPr>
          <w:rFonts w:hint="eastAsia" w:eastAsia="方正小标宋简体" w:cs="方正小标宋简体"/>
          <w:b/>
          <w:bCs/>
          <w:color w:val="auto"/>
          <w:sz w:val="32"/>
          <w:szCs w:val="32"/>
        </w:rPr>
        <w:t>州级预算</w:t>
      </w:r>
      <w:r>
        <w:rPr>
          <w:rFonts w:hint="eastAsia" w:ascii="方正小标宋简体" w:hAnsi="方正小标宋简体" w:eastAsia="方正小标宋简体" w:cs="方正小标宋简体"/>
          <w:b/>
          <w:bCs/>
          <w:color w:val="auto"/>
          <w:sz w:val="32"/>
          <w:szCs w:val="32"/>
        </w:rPr>
        <w:t>部门整体支出绩效评价基础数据表</w:t>
      </w:r>
    </w:p>
    <w:p>
      <w:pPr>
        <w:spacing w:after="0" w:line="580" w:lineRule="exact"/>
        <w:jc w:val="right"/>
        <w:rPr>
          <w:rFonts w:ascii="宋体" w:hAnsi="宋体" w:eastAsia="宋体" w:cs="宋体"/>
          <w:b/>
          <w:bCs/>
          <w:color w:val="auto"/>
          <w:sz w:val="24"/>
          <w:szCs w:val="24"/>
        </w:rPr>
      </w:pPr>
      <w:r>
        <w:rPr>
          <w:rFonts w:hint="eastAsia" w:ascii="宋体" w:hAnsi="宋体" w:eastAsia="宋体" w:cs="宋体"/>
          <w:b/>
          <w:bCs/>
          <w:color w:val="auto"/>
          <w:sz w:val="24"/>
          <w:szCs w:val="24"/>
        </w:rPr>
        <w:t>单位：人、㎡、万元</w:t>
      </w:r>
    </w:p>
    <w:tbl>
      <w:tblPr>
        <w:tblStyle w:val="25"/>
        <w:tblW w:w="1011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7"/>
        <w:gridCol w:w="812"/>
        <w:gridCol w:w="470"/>
        <w:gridCol w:w="1383"/>
        <w:gridCol w:w="1257"/>
        <w:gridCol w:w="1024"/>
        <w:gridCol w:w="1263"/>
        <w:gridCol w:w="259"/>
        <w:gridCol w:w="14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2989" w:type="dxa"/>
            <w:gridSpan w:val="2"/>
            <w:vMerge w:val="restart"/>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r>
              <w:rPr>
                <w:rFonts w:hint="eastAsia" w:ascii="宋体" w:hAnsi="宋体" w:eastAsia="宋体" w:cs="宋体"/>
                <w:color w:val="auto"/>
                <w:sz w:val="20"/>
                <w:szCs w:val="20"/>
              </w:rPr>
              <w:t>财政编制人员</w:t>
            </w:r>
          </w:p>
        </w:tc>
        <w:tc>
          <w:tcPr>
            <w:tcW w:w="1853" w:type="dxa"/>
            <w:gridSpan w:val="2"/>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编制数</w:t>
            </w:r>
          </w:p>
        </w:tc>
        <w:tc>
          <w:tcPr>
            <w:tcW w:w="2281" w:type="dxa"/>
            <w:gridSpan w:val="2"/>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20</w:t>
            </w:r>
            <w:r>
              <w:rPr>
                <w:rFonts w:hint="eastAsia" w:ascii="宋体" w:hAnsi="宋体" w:eastAsia="宋体" w:cs="宋体"/>
                <w:color w:val="auto"/>
                <w:sz w:val="20"/>
                <w:szCs w:val="20"/>
                <w:lang w:val="en-US" w:eastAsia="zh-CN"/>
              </w:rPr>
              <w:t>21</w:t>
            </w:r>
            <w:r>
              <w:rPr>
                <w:rFonts w:hint="eastAsia" w:ascii="宋体" w:hAnsi="宋体" w:eastAsia="宋体" w:cs="宋体"/>
                <w:color w:val="auto"/>
                <w:sz w:val="20"/>
                <w:szCs w:val="20"/>
              </w:rPr>
              <w:t>年实际在职人数</w:t>
            </w:r>
          </w:p>
        </w:tc>
        <w:tc>
          <w:tcPr>
            <w:tcW w:w="1522" w:type="dxa"/>
            <w:gridSpan w:val="2"/>
            <w:tcBorders>
              <w:righ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控制率</w:t>
            </w:r>
          </w:p>
        </w:tc>
        <w:tc>
          <w:tcPr>
            <w:tcW w:w="1472" w:type="dxa"/>
            <w:tcBorders>
              <w:lef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5" w:hRule="atLeast"/>
        </w:trPr>
        <w:tc>
          <w:tcPr>
            <w:tcW w:w="2989" w:type="dxa"/>
            <w:gridSpan w:val="2"/>
            <w:vMerge w:val="continue"/>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default" w:ascii="宋体" w:hAnsi="宋体" w:eastAsia="宋体" w:cs="宋体"/>
                <w:color w:val="auto"/>
                <w:kern w:val="2"/>
                <w:sz w:val="18"/>
                <w:szCs w:val="18"/>
                <w:lang w:val="en-US" w:eastAsia="zh-CN"/>
              </w:rPr>
              <w:t>6</w:t>
            </w:r>
            <w:r>
              <w:rPr>
                <w:rFonts w:hint="eastAsia" w:ascii="宋体" w:hAnsi="宋体" w:eastAsia="宋体" w:cs="宋体"/>
                <w:color w:val="auto"/>
                <w:kern w:val="2"/>
                <w:sz w:val="18"/>
                <w:szCs w:val="18"/>
                <w:lang w:val="en-US" w:eastAsia="zh-CN"/>
              </w:rPr>
              <w:t>1</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1"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经费控制情况</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w:t>
            </w:r>
            <w:r>
              <w:rPr>
                <w:rFonts w:hint="default" w:ascii="宋体" w:hAnsi="宋体" w:eastAsia="宋体" w:cs="宋体"/>
                <w:color w:val="auto"/>
                <w:kern w:val="2"/>
                <w:sz w:val="18"/>
                <w:szCs w:val="18"/>
                <w:lang w:val="en-US" w:eastAsia="zh-CN"/>
              </w:rPr>
              <w:t>0</w:t>
            </w:r>
            <w:r>
              <w:rPr>
                <w:rFonts w:hint="eastAsia" w:ascii="宋体" w:hAnsi="宋体" w:eastAsia="宋体" w:cs="宋体"/>
                <w:color w:val="auto"/>
                <w:kern w:val="2"/>
                <w:sz w:val="18"/>
                <w:szCs w:val="18"/>
                <w:lang w:val="en-US" w:eastAsia="zh-CN"/>
              </w:rPr>
              <w:t>20年决算数</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w:t>
            </w:r>
            <w:r>
              <w:rPr>
                <w:rFonts w:hint="default" w:ascii="宋体" w:hAnsi="宋体" w:eastAsia="宋体" w:cs="宋体"/>
                <w:color w:val="auto"/>
                <w:kern w:val="2"/>
                <w:sz w:val="18"/>
                <w:szCs w:val="18"/>
                <w:lang w:val="en-US" w:eastAsia="zh-CN"/>
              </w:rPr>
              <w:t>0</w:t>
            </w:r>
            <w:r>
              <w:rPr>
                <w:rFonts w:hint="eastAsia" w:ascii="宋体" w:hAnsi="宋体" w:eastAsia="宋体" w:cs="宋体"/>
                <w:color w:val="auto"/>
                <w:kern w:val="2"/>
                <w:sz w:val="18"/>
                <w:szCs w:val="18"/>
                <w:lang w:val="en-US" w:eastAsia="zh-CN"/>
              </w:rPr>
              <w:t>21年度预算数</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w:t>
            </w:r>
            <w:r>
              <w:rPr>
                <w:rFonts w:hint="default" w:ascii="宋体" w:hAnsi="宋体" w:eastAsia="宋体" w:cs="宋体"/>
                <w:color w:val="auto"/>
                <w:kern w:val="2"/>
                <w:sz w:val="18"/>
                <w:szCs w:val="18"/>
                <w:lang w:val="en-US" w:eastAsia="zh-CN"/>
              </w:rPr>
              <w:t>0</w:t>
            </w:r>
            <w:r>
              <w:rPr>
                <w:rFonts w:hint="eastAsia" w:ascii="宋体" w:hAnsi="宋体" w:eastAsia="宋体" w:cs="宋体"/>
                <w:color w:val="auto"/>
                <w:kern w:val="2"/>
                <w:sz w:val="18"/>
                <w:szCs w:val="18"/>
                <w:lang w:val="en-US" w:eastAsia="zh-CN"/>
              </w:rPr>
              <w:t>21年决算数</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一、“三公”经费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72.63</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121.27</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56.95</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1、公务用车购置和维护经费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67.62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69.00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48.50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其中：公车购置</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 xml:space="preserve"> </w:t>
            </w:r>
            <w:r>
              <w:rPr>
                <w:rFonts w:hint="default" w:ascii="宋体" w:hAnsi="宋体" w:eastAsia="宋体" w:cs="宋体"/>
                <w:color w:val="auto"/>
                <w:kern w:val="2"/>
                <w:sz w:val="18"/>
                <w:szCs w:val="18"/>
                <w:lang w:val="en-US" w:eastAsia="zh-CN"/>
              </w:rPr>
              <w:t xml:space="preserve">    </w:t>
            </w:r>
            <w:r>
              <w:rPr>
                <w:rFonts w:hint="eastAsia" w:ascii="宋体" w:hAnsi="宋体" w:eastAsia="宋体" w:cs="宋体"/>
                <w:color w:val="auto"/>
                <w:kern w:val="2"/>
                <w:sz w:val="18"/>
                <w:szCs w:val="18"/>
                <w:lang w:val="en-US" w:eastAsia="zh-CN"/>
              </w:rPr>
              <w:t>公务用车运行费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67.62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69.00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48.50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2、出国经费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3、公务接待</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5.01</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52.27</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8.44</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二、基本支出</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1377.68</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1620.93</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1605.11</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三、项目支出</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670.43</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879.60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870.71</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其中：委员视察</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101.68</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95.97</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240.95</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四、公用经费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87.23</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251.36</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235.54</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其中：办公费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11.05</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30.15</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水费、电费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7.22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6.49</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邮电费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3.40</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2.46</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差旅费、其他交通费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20.82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51.90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物业管理费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3.06</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会议费、培训费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10.37</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7.17</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公务接待</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1.08</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7.10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劳务费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3.44</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11.80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工会经费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3.16</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13.72</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福利费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1.72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10.95</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公务用车维护费</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1.78</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3.35</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419" w:firstLineChars="233"/>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其他商品和服务支出</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6.29</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48.69</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四、政府采购金额</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12.02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60.10</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60.10</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2989"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left"/>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五、部门整体支出</w:t>
            </w:r>
          </w:p>
        </w:tc>
        <w:tc>
          <w:tcPr>
            <w:tcW w:w="1853" w:type="dxa"/>
            <w:gridSpan w:val="2"/>
            <w:vAlign w:val="center"/>
          </w:tcPr>
          <w:p>
            <w:pPr>
              <w:keepNext w:val="0"/>
              <w:keepLines w:val="0"/>
              <w:widowControl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2048.12</w:t>
            </w:r>
          </w:p>
        </w:tc>
        <w:tc>
          <w:tcPr>
            <w:tcW w:w="2281" w:type="dxa"/>
            <w:gridSpan w:val="2"/>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2500.53</w:t>
            </w:r>
          </w:p>
        </w:tc>
        <w:tc>
          <w:tcPr>
            <w:tcW w:w="1522" w:type="dxa"/>
            <w:gridSpan w:val="2"/>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2475.82</w:t>
            </w:r>
          </w:p>
        </w:tc>
        <w:tc>
          <w:tcPr>
            <w:tcW w:w="1472"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2177" w:type="dxa"/>
            <w:vMerge w:val="restart"/>
            <w:tcBorders>
              <w:right w:val="single" w:color="auto" w:sz="4" w:space="0"/>
            </w:tcBorders>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r>
              <w:rPr>
                <w:rFonts w:hint="eastAsia" w:ascii="宋体" w:hAnsi="宋体" w:eastAsia="宋体" w:cs="宋体"/>
                <w:color w:val="auto"/>
                <w:kern w:val="2"/>
                <w:sz w:val="18"/>
                <w:szCs w:val="18"/>
                <w:lang w:val="en-US" w:eastAsia="zh-CN"/>
              </w:rPr>
              <w:t>六、楼堂馆所控制情况</w:t>
            </w:r>
          </w:p>
        </w:tc>
        <w:tc>
          <w:tcPr>
            <w:tcW w:w="1282" w:type="dxa"/>
            <w:gridSpan w:val="2"/>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r>
              <w:rPr>
                <w:rFonts w:hint="eastAsia" w:ascii="宋体" w:hAnsi="宋体" w:eastAsia="宋体" w:cs="宋体"/>
                <w:color w:val="auto"/>
                <w:sz w:val="20"/>
                <w:szCs w:val="20"/>
              </w:rPr>
              <w:t>批复规模㎡</w:t>
            </w:r>
          </w:p>
        </w:tc>
        <w:tc>
          <w:tcPr>
            <w:tcW w:w="1383" w:type="dxa"/>
            <w:tcBorders>
              <w:left w:val="single" w:color="auto" w:sz="4" w:space="0"/>
            </w:tcBorders>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r>
              <w:rPr>
                <w:rFonts w:hint="eastAsia" w:ascii="宋体" w:hAnsi="宋体" w:eastAsia="宋体" w:cs="宋体"/>
                <w:color w:val="auto"/>
                <w:sz w:val="20"/>
                <w:szCs w:val="20"/>
              </w:rPr>
              <w:t>实际规模㎡</w:t>
            </w:r>
          </w:p>
        </w:tc>
        <w:tc>
          <w:tcPr>
            <w:tcW w:w="1257" w:type="dxa"/>
            <w:tcBorders>
              <w:righ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规模控制率</w:t>
            </w:r>
          </w:p>
        </w:tc>
        <w:tc>
          <w:tcPr>
            <w:tcW w:w="1024" w:type="dxa"/>
            <w:tcBorders>
              <w:lef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预算投资</w:t>
            </w:r>
          </w:p>
        </w:tc>
        <w:tc>
          <w:tcPr>
            <w:tcW w:w="1263" w:type="dxa"/>
            <w:tcBorders>
              <w:righ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实际投资</w:t>
            </w:r>
          </w:p>
        </w:tc>
        <w:tc>
          <w:tcPr>
            <w:tcW w:w="1731" w:type="dxa"/>
            <w:gridSpan w:val="2"/>
            <w:tcBorders>
              <w:left w:val="single" w:color="auto" w:sz="4" w:space="0"/>
            </w:tcBorders>
            <w:vAlign w:val="center"/>
          </w:tcPr>
          <w:p>
            <w:pPr>
              <w:keepNext w:val="0"/>
              <w:keepLines w:val="0"/>
              <w:widowControl/>
              <w:suppressLineNumbers w:val="0"/>
              <w:spacing w:before="0" w:beforeAutospacing="0" w:after="0" w:afterAutospacing="0" w:line="580" w:lineRule="exact"/>
              <w:ind w:left="0" w:right="0"/>
              <w:jc w:val="center"/>
              <w:rPr>
                <w:rFonts w:hint="default" w:ascii="宋体" w:hAnsi="宋体" w:eastAsia="宋体" w:cs="宋体"/>
                <w:color w:val="auto"/>
                <w:sz w:val="20"/>
                <w:szCs w:val="20"/>
              </w:rPr>
            </w:pPr>
            <w:r>
              <w:rPr>
                <w:rFonts w:hint="eastAsia" w:ascii="宋体" w:hAnsi="宋体" w:eastAsia="宋体" w:cs="宋体"/>
                <w:color w:val="auto"/>
                <w:sz w:val="20"/>
                <w:szCs w:val="20"/>
              </w:rPr>
              <w:t>投资概算控制率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7" w:hRule="atLeast"/>
        </w:trPr>
        <w:tc>
          <w:tcPr>
            <w:tcW w:w="2177" w:type="dxa"/>
            <w:vMerge w:val="continue"/>
            <w:tcBorders>
              <w:right w:val="single" w:color="auto" w:sz="4" w:space="0"/>
            </w:tcBorders>
            <w:vAlign w:val="center"/>
          </w:tcPr>
          <w:p>
            <w:pPr>
              <w:keepNext w:val="0"/>
              <w:keepLines w:val="0"/>
              <w:widowControl/>
              <w:suppressLineNumbers w:val="0"/>
              <w:spacing w:before="0" w:beforeAutospacing="0" w:after="0" w:afterAutospacing="0" w:line="580" w:lineRule="exact"/>
              <w:ind w:left="0" w:right="0"/>
              <w:jc w:val="both"/>
              <w:rPr>
                <w:rFonts w:hint="default" w:ascii="宋体" w:hAnsi="宋体" w:eastAsia="宋体" w:cs="宋体"/>
                <w:color w:val="auto"/>
                <w:sz w:val="20"/>
                <w:szCs w:val="20"/>
              </w:rPr>
            </w:pPr>
          </w:p>
        </w:tc>
        <w:tc>
          <w:tcPr>
            <w:tcW w:w="1282" w:type="dxa"/>
            <w:gridSpan w:val="2"/>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383"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257" w:type="dxa"/>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100%</w:t>
            </w:r>
          </w:p>
        </w:tc>
        <w:tc>
          <w:tcPr>
            <w:tcW w:w="1024" w:type="dxa"/>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263" w:type="dxa"/>
            <w:tcBorders>
              <w:righ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731" w:type="dxa"/>
            <w:gridSpan w:val="2"/>
            <w:tcBorders>
              <w:left w:val="single" w:color="auto" w:sz="4" w:space="0"/>
            </w:tcBorders>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1" w:hRule="atLeast"/>
        </w:trPr>
        <w:tc>
          <w:tcPr>
            <w:tcW w:w="2177" w:type="dxa"/>
            <w:tcBorders>
              <w:right w:val="single" w:color="auto" w:sz="4" w:space="0"/>
            </w:tcBorders>
            <w:vAlign w:val="center"/>
          </w:tcPr>
          <w:p>
            <w:pPr>
              <w:keepNext w:val="0"/>
              <w:keepLines w:val="0"/>
              <w:widowControl/>
              <w:suppressLineNumbers w:val="0"/>
              <w:spacing w:before="0" w:beforeAutospacing="0" w:after="0" w:afterAutospacing="0" w:line="300" w:lineRule="exact"/>
              <w:ind w:left="0" w:leftChars="0" w:right="0" w:rightChars="0"/>
              <w:jc w:val="center"/>
              <w:rPr>
                <w:rFonts w:hint="default" w:ascii="宋体" w:hAnsi="宋体" w:eastAsia="宋体" w:cs="宋体"/>
                <w:color w:val="auto"/>
                <w:sz w:val="20"/>
                <w:szCs w:val="20"/>
              </w:rPr>
            </w:pPr>
            <w:r>
              <w:rPr>
                <w:rFonts w:hint="eastAsia" w:ascii="宋体" w:hAnsi="宋体" w:eastAsia="宋体" w:cs="宋体"/>
                <w:b/>
                <w:bCs/>
                <w:color w:val="auto"/>
                <w:sz w:val="18"/>
                <w:szCs w:val="18"/>
              </w:rPr>
              <w:t>厉行节约保障措施</w:t>
            </w:r>
          </w:p>
        </w:tc>
        <w:tc>
          <w:tcPr>
            <w:tcW w:w="7940" w:type="dxa"/>
            <w:gridSpan w:val="8"/>
            <w:tcBorders>
              <w:left w:val="single" w:color="auto" w:sz="4" w:space="0"/>
            </w:tcBorders>
            <w:vAlign w:val="center"/>
          </w:tcPr>
          <w:p>
            <w:pPr>
              <w:keepNext w:val="0"/>
              <w:keepLines w:val="0"/>
              <w:widowControl/>
              <w:suppressLineNumbers w:val="0"/>
              <w:spacing w:before="0" w:beforeAutospacing="0" w:after="0" w:afterAutospacing="0" w:line="300" w:lineRule="exact"/>
              <w:ind w:left="0" w:leftChars="0" w:right="0" w:rightChars="0"/>
              <w:jc w:val="left"/>
              <w:rPr>
                <w:rFonts w:hint="default" w:ascii="宋体" w:hAnsi="宋体" w:eastAsia="宋体" w:cs="宋体"/>
                <w:color w:val="auto"/>
                <w:sz w:val="20"/>
                <w:szCs w:val="20"/>
              </w:rPr>
            </w:pPr>
            <w:r>
              <w:rPr>
                <w:rFonts w:hint="eastAsia" w:ascii="宋体" w:hAnsi="宋体" w:cs="宋体"/>
                <w:color w:val="auto"/>
                <w:sz w:val="18"/>
                <w:szCs w:val="18"/>
                <w:lang w:eastAsia="zh-CN"/>
              </w:rPr>
              <w:t>本</w:t>
            </w:r>
            <w:r>
              <w:rPr>
                <w:rFonts w:hint="eastAsia" w:ascii="宋体" w:hAnsi="宋体" w:cs="宋体"/>
                <w:color w:val="auto"/>
                <w:sz w:val="18"/>
                <w:szCs w:val="18"/>
                <w:lang w:val="en-US" w:eastAsia="zh-CN"/>
              </w:rPr>
              <w:t>部门</w:t>
            </w:r>
            <w:r>
              <w:rPr>
                <w:rFonts w:hint="eastAsia" w:ascii="宋体" w:hAnsi="宋体" w:eastAsia="宋体" w:cs="宋体"/>
                <w:color w:val="auto"/>
                <w:sz w:val="18"/>
                <w:szCs w:val="18"/>
              </w:rPr>
              <w:t>在工作开展过程中，厉行节约，严格按照财务管理制度进行开支，严格执行中央“八项规定”。</w:t>
            </w:r>
          </w:p>
        </w:tc>
      </w:tr>
    </w:tbl>
    <w:p>
      <w:pPr>
        <w:spacing w:line="360" w:lineRule="exact"/>
        <w:rPr>
          <w:rFonts w:hint="eastAsia" w:ascii="宋体" w:hAnsi="宋体" w:eastAsia="宋体" w:cs="宋体"/>
          <w:color w:val="auto"/>
          <w:sz w:val="18"/>
          <w:szCs w:val="18"/>
        </w:rPr>
      </w:pPr>
      <w:r>
        <w:rPr>
          <w:rFonts w:hint="eastAsia" w:ascii="宋体" w:hAnsi="宋体" w:eastAsia="宋体" w:cs="宋体"/>
          <w:color w:val="auto"/>
          <w:sz w:val="18"/>
          <w:szCs w:val="18"/>
        </w:rPr>
        <w:t>说明：项目支出需要填报除基本支出以外的所有项目支出情况，公用经费填报基本支出中的一般商品和服务支出。</w:t>
      </w:r>
    </w:p>
    <w:p>
      <w:pPr>
        <w:spacing w:line="360" w:lineRule="exact"/>
        <w:rPr>
          <w:rFonts w:hint="eastAsia" w:ascii="宋体" w:hAnsi="宋体" w:eastAsia="宋体" w:cs="宋体"/>
          <w:color w:val="auto"/>
          <w:sz w:val="18"/>
          <w:szCs w:val="18"/>
        </w:rPr>
      </w:pPr>
      <w:r>
        <w:rPr>
          <w:rFonts w:hint="eastAsia" w:ascii="宋体" w:hAnsi="宋体" w:eastAsia="宋体" w:cs="宋体"/>
          <w:color w:val="auto"/>
          <w:sz w:val="18"/>
          <w:szCs w:val="18"/>
        </w:rPr>
        <w:t xml:space="preserve">单位负责人签字：          </w:t>
      </w:r>
      <w:r>
        <w:rPr>
          <w:rFonts w:hint="eastAsia" w:ascii="宋体" w:hAnsi="宋体" w:eastAsia="宋体" w:cs="宋体"/>
          <w:color w:val="auto"/>
          <w:sz w:val="18"/>
          <w:szCs w:val="18"/>
          <w:lang w:val="en-US" w:eastAsia="zh-CN"/>
        </w:rPr>
        <w:t xml:space="preserve">        </w:t>
      </w:r>
      <w:r>
        <w:rPr>
          <w:rFonts w:hint="eastAsia" w:ascii="宋体" w:hAnsi="宋体" w:eastAsia="宋体" w:cs="宋体"/>
          <w:color w:val="auto"/>
          <w:sz w:val="18"/>
          <w:szCs w:val="18"/>
        </w:rPr>
        <w:t xml:space="preserve"> 填表人：</w:t>
      </w:r>
      <w:r>
        <w:rPr>
          <w:rFonts w:hint="eastAsia" w:ascii="宋体" w:hAnsi="宋体" w:eastAsia="宋体" w:cs="宋体"/>
          <w:color w:val="auto"/>
          <w:sz w:val="18"/>
          <w:szCs w:val="18"/>
          <w:lang w:val="en-US" w:eastAsia="zh-CN"/>
        </w:rPr>
        <w:t>郭震寰</w:t>
      </w:r>
      <w:r>
        <w:rPr>
          <w:rFonts w:hint="eastAsia" w:ascii="宋体" w:hAnsi="宋体" w:eastAsia="宋体" w:cs="宋体"/>
          <w:color w:val="auto"/>
          <w:sz w:val="18"/>
          <w:szCs w:val="18"/>
        </w:rPr>
        <w:t xml:space="preserve">  联系电话：</w:t>
      </w:r>
      <w:r>
        <w:rPr>
          <w:rFonts w:hint="eastAsia" w:ascii="宋体" w:hAnsi="宋体" w:eastAsia="宋体" w:cs="宋体"/>
          <w:color w:val="auto"/>
          <w:sz w:val="18"/>
          <w:szCs w:val="18"/>
          <w:lang w:val="en-US" w:eastAsia="zh-CN"/>
        </w:rPr>
        <w:t>18974319101</w:t>
      </w:r>
      <w:r>
        <w:rPr>
          <w:rFonts w:hint="eastAsia" w:ascii="宋体" w:hAnsi="宋体" w:eastAsia="宋体" w:cs="宋体"/>
          <w:color w:val="auto"/>
          <w:sz w:val="18"/>
          <w:szCs w:val="18"/>
        </w:rPr>
        <w:t xml:space="preserve"> 填报日期：202</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年</w:t>
      </w:r>
      <w:r>
        <w:rPr>
          <w:rFonts w:hint="eastAsia" w:ascii="宋体" w:hAnsi="宋体" w:eastAsia="宋体" w:cs="宋体"/>
          <w:color w:val="auto"/>
          <w:sz w:val="18"/>
          <w:szCs w:val="18"/>
          <w:lang w:val="en-US"/>
        </w:rPr>
        <w:t>6</w:t>
      </w:r>
      <w:r>
        <w:rPr>
          <w:rFonts w:hint="eastAsia" w:ascii="宋体" w:hAnsi="宋体" w:eastAsia="宋体" w:cs="宋体"/>
          <w:color w:val="auto"/>
          <w:sz w:val="18"/>
          <w:szCs w:val="18"/>
        </w:rPr>
        <w:t>月</w:t>
      </w:r>
      <w:r>
        <w:rPr>
          <w:rFonts w:hint="eastAsia" w:ascii="宋体" w:hAnsi="宋体" w:eastAsia="宋体" w:cs="宋体"/>
          <w:color w:val="auto"/>
          <w:sz w:val="18"/>
          <w:szCs w:val="18"/>
          <w:lang w:val="en-US" w:eastAsia="zh-CN"/>
        </w:rPr>
        <w:t>15</w:t>
      </w:r>
      <w:r>
        <w:rPr>
          <w:rFonts w:hint="eastAsia" w:ascii="宋体" w:hAnsi="宋体" w:eastAsia="宋体" w:cs="宋体"/>
          <w:color w:val="auto"/>
          <w:sz w:val="18"/>
          <w:szCs w:val="18"/>
        </w:rPr>
        <w:t>日</w:t>
      </w: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center"/>
        <w:rPr>
          <w:rFonts w:ascii="黑体" w:hAnsi="黑体" w:eastAsia="黑体"/>
          <w:b/>
          <w:bCs/>
          <w:color w:val="auto"/>
          <w:sz w:val="32"/>
          <w:szCs w:val="32"/>
        </w:rPr>
      </w:pPr>
    </w:p>
    <w:p>
      <w:pPr>
        <w:jc w:val="both"/>
        <w:rPr>
          <w:rFonts w:ascii="黑体" w:hAnsi="黑体" w:eastAsia="黑体"/>
          <w:b/>
          <w:bCs/>
          <w:color w:val="auto"/>
          <w:sz w:val="32"/>
          <w:szCs w:val="32"/>
        </w:rPr>
      </w:pPr>
    </w:p>
    <w:p>
      <w:pPr>
        <w:jc w:val="both"/>
        <w:rPr>
          <w:rFonts w:ascii="黑体" w:hAnsi="黑体" w:eastAsia="黑体"/>
          <w:b/>
          <w:bCs/>
          <w:color w:val="auto"/>
          <w:sz w:val="32"/>
          <w:szCs w:val="32"/>
        </w:rPr>
      </w:pPr>
    </w:p>
    <w:p>
      <w:pPr>
        <w:jc w:val="center"/>
        <w:rPr>
          <w:rFonts w:hint="eastAsia" w:ascii="宋体" w:hAnsi="宋体" w:eastAsia="宋体" w:cs="宋体"/>
          <w:b/>
          <w:bCs/>
          <w:color w:val="auto"/>
          <w:kern w:val="2"/>
          <w:sz w:val="28"/>
          <w:szCs w:val="28"/>
        </w:rPr>
      </w:pPr>
      <w:r>
        <w:rPr>
          <w:rFonts w:ascii="黑体" w:hAnsi="黑体" w:eastAsia="黑体"/>
          <w:b/>
          <w:bCs/>
          <w:color w:val="auto"/>
          <w:sz w:val="32"/>
          <w:szCs w:val="32"/>
        </w:rPr>
        <w:t>附件</w:t>
      </w:r>
      <w:r>
        <w:rPr>
          <w:rFonts w:hint="eastAsia" w:ascii="黑体" w:hAnsi="黑体" w:eastAsia="黑体"/>
          <w:b/>
          <w:bCs/>
          <w:color w:val="auto"/>
          <w:sz w:val="32"/>
          <w:szCs w:val="32"/>
          <w:lang w:val="en-US" w:eastAsia="zh-CN"/>
        </w:rPr>
        <w:t>2</w:t>
      </w:r>
      <w:r>
        <w:rPr>
          <w:rFonts w:hint="eastAsia" w:ascii="黑体" w:hAnsi="黑体" w:eastAsia="黑体"/>
          <w:b/>
          <w:bCs/>
          <w:color w:val="auto"/>
          <w:sz w:val="32"/>
          <w:szCs w:val="32"/>
        </w:rPr>
        <w:t>：州级预算部门整体支出绩效自评表</w:t>
      </w:r>
      <w:r>
        <w:rPr>
          <w:rFonts w:hint="eastAsia" w:ascii="宋体" w:hAnsi="宋体" w:eastAsia="宋体" w:cs="宋体"/>
          <w:b/>
          <w:bCs/>
          <w:color w:val="auto"/>
          <w:kern w:val="2"/>
          <w:sz w:val="32"/>
          <w:szCs w:val="32"/>
        </w:rPr>
        <w:t>（202</w:t>
      </w:r>
      <w:r>
        <w:rPr>
          <w:rFonts w:hint="eastAsia" w:ascii="宋体" w:hAnsi="宋体" w:eastAsia="宋体" w:cs="宋体"/>
          <w:b/>
          <w:bCs/>
          <w:color w:val="auto"/>
          <w:kern w:val="2"/>
          <w:sz w:val="32"/>
          <w:szCs w:val="32"/>
          <w:lang w:val="en-US" w:eastAsia="zh-CN"/>
        </w:rPr>
        <w:t>1</w:t>
      </w:r>
      <w:r>
        <w:rPr>
          <w:rFonts w:hint="eastAsia" w:ascii="宋体" w:hAnsi="宋体" w:eastAsia="宋体" w:cs="宋体"/>
          <w:b/>
          <w:bCs/>
          <w:color w:val="auto"/>
          <w:kern w:val="2"/>
          <w:sz w:val="32"/>
          <w:szCs w:val="32"/>
        </w:rPr>
        <w:t>年度）</w:t>
      </w:r>
    </w:p>
    <w:tbl>
      <w:tblPr>
        <w:tblStyle w:val="24"/>
        <w:tblW w:w="10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005"/>
        <w:gridCol w:w="945"/>
        <w:gridCol w:w="1485"/>
        <w:gridCol w:w="1290"/>
        <w:gridCol w:w="970"/>
        <w:gridCol w:w="626"/>
        <w:gridCol w:w="777"/>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17"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b/>
                <w:bCs/>
                <w:color w:val="auto"/>
                <w:kern w:val="2"/>
                <w:sz w:val="18"/>
                <w:szCs w:val="18"/>
              </w:rPr>
            </w:pPr>
            <w:r>
              <w:rPr>
                <w:rFonts w:hint="eastAsia" w:ascii="宋体" w:hAnsi="宋体" w:eastAsia="宋体" w:cs="宋体"/>
                <w:color w:val="auto"/>
                <w:sz w:val="18"/>
                <w:szCs w:val="18"/>
              </w:rPr>
              <w:t>州级预算部门名称</w:t>
            </w:r>
          </w:p>
        </w:tc>
        <w:tc>
          <w:tcPr>
            <w:tcW w:w="8990" w:type="dxa"/>
            <w:gridSpan w:val="8"/>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b/>
                <w:bCs/>
                <w:color w:val="auto"/>
                <w:kern w:val="2"/>
                <w:sz w:val="18"/>
                <w:szCs w:val="18"/>
              </w:rPr>
            </w:pPr>
            <w:r>
              <w:rPr>
                <w:rFonts w:hint="eastAsia" w:ascii="宋体" w:hAnsi="宋体" w:eastAsia="宋体" w:cs="宋体"/>
                <w:b/>
                <w:bCs/>
                <w:color w:val="auto"/>
                <w:kern w:val="2"/>
                <w:sz w:val="18"/>
                <w:szCs w:val="18"/>
              </w:rPr>
              <w:t>政协湘西自治州委员办公室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17"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年度预</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算申请</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sz w:val="18"/>
                <w:szCs w:val="18"/>
              </w:rPr>
              <w:t>（万元）</w:t>
            </w:r>
          </w:p>
        </w:tc>
        <w:tc>
          <w:tcPr>
            <w:tcW w:w="1950" w:type="dxa"/>
            <w:gridSpan w:val="2"/>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c>
          <w:tcPr>
            <w:tcW w:w="148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年初</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预算数</w:t>
            </w:r>
          </w:p>
        </w:tc>
        <w:tc>
          <w:tcPr>
            <w:tcW w:w="1290"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全年</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预算数</w:t>
            </w:r>
          </w:p>
        </w:tc>
        <w:tc>
          <w:tcPr>
            <w:tcW w:w="970"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全年</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执行数</w:t>
            </w:r>
          </w:p>
        </w:tc>
        <w:tc>
          <w:tcPr>
            <w:tcW w:w="626"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分值</w:t>
            </w:r>
          </w:p>
        </w:tc>
        <w:tc>
          <w:tcPr>
            <w:tcW w:w="777"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执行率</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年度资金总额</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936.85</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2500.53</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2475.82</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10</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99%</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按收入性质分：</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936.85</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2497.56</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2497.56</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98" w:firstLineChars="11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一般公共预算</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936.85</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2474.50</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2474.50</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98" w:firstLineChars="11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政府性基金拨款</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98" w:firstLineChars="11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纳入专户管理的非税收入拨款</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80" w:firstLineChars="10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其他资金</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23.06</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23.06</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pStyle w:val="15"/>
              <w:keepNext w:val="0"/>
              <w:keepLines w:val="0"/>
              <w:widowControl/>
              <w:suppressLineNumbers w:val="0"/>
              <w:snapToGrid/>
              <w:spacing w:before="0" w:beforeAutospacing="0" w:after="0" w:afterAutospacing="0" w:line="260" w:lineRule="exact"/>
              <w:ind w:left="0" w:leftChars="0" w:right="0" w:rightChars="0"/>
              <w:rPr>
                <w:rFonts w:hint="eastAsia" w:ascii="宋体" w:hAnsi="宋体" w:eastAsia="宋体" w:cs="宋体"/>
                <w:b/>
                <w:bCs/>
                <w:color w:val="auto"/>
                <w:sz w:val="18"/>
                <w:szCs w:val="18"/>
              </w:rPr>
            </w:pPr>
            <w:r>
              <w:rPr>
                <w:rFonts w:hint="eastAsia" w:ascii="宋体" w:hAnsi="宋体" w:eastAsia="宋体" w:cs="宋体"/>
                <w:color w:val="auto"/>
                <w:kern w:val="2"/>
                <w:sz w:val="18"/>
                <w:szCs w:val="18"/>
              </w:rPr>
              <w:t>按支出性质分：</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rPr>
            </w:pPr>
            <w:r>
              <w:rPr>
                <w:rFonts w:hint="eastAsia" w:ascii="宋体" w:hAnsi="宋体" w:eastAsia="宋体" w:cs="宋体"/>
                <w:color w:val="auto"/>
                <w:sz w:val="18"/>
                <w:szCs w:val="18"/>
                <w:lang w:val="en-US" w:eastAsia="zh-CN"/>
              </w:rPr>
              <w:t>936.85</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rPr>
            </w:pPr>
            <w:r>
              <w:rPr>
                <w:rFonts w:hint="eastAsia" w:ascii="宋体" w:hAnsi="宋体" w:eastAsia="宋体" w:cs="宋体"/>
                <w:color w:val="auto"/>
                <w:sz w:val="18"/>
                <w:szCs w:val="18"/>
                <w:lang w:val="en-US" w:eastAsia="zh-CN"/>
              </w:rPr>
              <w:t>2500.53</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rPr>
            </w:pPr>
            <w:r>
              <w:rPr>
                <w:rFonts w:hint="eastAsia" w:ascii="宋体" w:hAnsi="宋体" w:eastAsia="宋体" w:cs="宋体"/>
                <w:color w:val="auto"/>
                <w:sz w:val="18"/>
                <w:szCs w:val="18"/>
                <w:lang w:val="en-US" w:eastAsia="zh-CN"/>
              </w:rPr>
              <w:t>2475.82</w:t>
            </w:r>
          </w:p>
        </w:tc>
        <w:tc>
          <w:tcPr>
            <w:tcW w:w="626"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80" w:firstLineChars="10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基本支出</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752.88</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1620.93</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1605.11</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950" w:type="dxa"/>
            <w:gridSpan w:val="2"/>
            <w:noWrap w:val="0"/>
            <w:vAlign w:val="center"/>
          </w:tcPr>
          <w:p>
            <w:pPr>
              <w:keepNext w:val="0"/>
              <w:keepLines w:val="0"/>
              <w:widowControl/>
              <w:suppressLineNumbers w:val="0"/>
              <w:spacing w:before="0" w:beforeAutospacing="0" w:after="0" w:afterAutospacing="0" w:line="260" w:lineRule="exact"/>
              <w:ind w:left="0" w:leftChars="0" w:right="0" w:rightChars="0" w:firstLine="180" w:firstLineChars="100"/>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sz w:val="18"/>
                <w:szCs w:val="18"/>
              </w:rPr>
              <w:t>项目支出</w:t>
            </w:r>
          </w:p>
        </w:tc>
        <w:tc>
          <w:tcPr>
            <w:tcW w:w="1485"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183.97</w:t>
            </w:r>
          </w:p>
        </w:tc>
        <w:tc>
          <w:tcPr>
            <w:tcW w:w="129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879.60</w:t>
            </w:r>
          </w:p>
        </w:tc>
        <w:tc>
          <w:tcPr>
            <w:tcW w:w="970" w:type="dxa"/>
            <w:noWrap w:val="0"/>
            <w:vAlign w:val="center"/>
          </w:tcPr>
          <w:p>
            <w:pPr>
              <w:keepNext w:val="0"/>
              <w:keepLines w:val="0"/>
              <w:widowControl/>
              <w:suppressLineNumbers w:val="0"/>
              <w:spacing w:before="0" w:beforeAutospacing="0" w:after="0" w:afterAutospacing="0" w:line="260" w:lineRule="exact"/>
              <w:ind w:left="0" w:leftChars="0" w:right="0" w:right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870.71</w:t>
            </w:r>
          </w:p>
        </w:tc>
        <w:tc>
          <w:tcPr>
            <w:tcW w:w="626"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777"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c>
          <w:tcPr>
            <w:tcW w:w="1892" w:type="dxa"/>
            <w:noWrap w:val="0"/>
            <w:vAlign w:val="center"/>
          </w:tcPr>
          <w:p>
            <w:pPr>
              <w:keepNext w:val="0"/>
              <w:keepLines w:val="0"/>
              <w:widowControl w:val="0"/>
              <w:suppressLineNumbers w:val="0"/>
              <w:spacing w:before="0" w:beforeAutospacing="0" w:after="0" w:afterAutospacing="0" w:line="300" w:lineRule="exact"/>
              <w:ind w:left="0" w:leftChars="0" w:right="0" w:firstLine="0" w:firstLineChars="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17"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年度总体目标</w:t>
            </w:r>
          </w:p>
        </w:tc>
        <w:tc>
          <w:tcPr>
            <w:tcW w:w="4725" w:type="dxa"/>
            <w:gridSpan w:val="4"/>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b/>
                <w:bCs/>
                <w:color w:val="auto"/>
                <w:kern w:val="2"/>
                <w:sz w:val="18"/>
                <w:szCs w:val="18"/>
              </w:rPr>
            </w:pPr>
            <w:r>
              <w:rPr>
                <w:rFonts w:hint="eastAsia" w:ascii="宋体" w:hAnsi="宋体" w:eastAsia="宋体" w:cs="宋体"/>
                <w:b/>
                <w:bCs/>
                <w:color w:val="auto"/>
                <w:kern w:val="2"/>
                <w:sz w:val="18"/>
                <w:szCs w:val="18"/>
              </w:rPr>
              <w:t>预期目标</w:t>
            </w:r>
          </w:p>
        </w:tc>
        <w:tc>
          <w:tcPr>
            <w:tcW w:w="4265" w:type="dxa"/>
            <w:gridSpan w:val="4"/>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b/>
                <w:bCs/>
                <w:color w:val="auto"/>
                <w:kern w:val="2"/>
                <w:sz w:val="18"/>
                <w:szCs w:val="18"/>
              </w:rPr>
            </w:pPr>
            <w:r>
              <w:rPr>
                <w:rFonts w:hint="eastAsia" w:ascii="宋体" w:hAnsi="宋体" w:eastAsia="宋体" w:cs="宋体"/>
                <w:b/>
                <w:bCs/>
                <w:color w:val="auto"/>
                <w:kern w:val="2"/>
                <w:sz w:val="18"/>
                <w:szCs w:val="18"/>
              </w:rPr>
              <w:t xml:space="preserve">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4725" w:type="dxa"/>
            <w:gridSpan w:val="4"/>
            <w:noWrap w:val="0"/>
            <w:vAlign w:val="center"/>
          </w:tcPr>
          <w:p>
            <w:pPr>
              <w:keepNext w:val="0"/>
              <w:keepLines w:val="0"/>
              <w:widowControl w:val="0"/>
              <w:suppressLineNumbers w:val="0"/>
              <w:spacing w:before="0" w:beforeAutospacing="0" w:after="0" w:afterAutospacing="0" w:line="260" w:lineRule="exact"/>
              <w:ind w:left="0" w:right="5" w:firstLine="360" w:firstLineChars="200"/>
              <w:jc w:val="both"/>
              <w:rPr>
                <w:rFonts w:hint="eastAsia" w:ascii="宋体" w:hAnsi="宋体" w:eastAsia="宋体" w:cs="宋体"/>
                <w:color w:val="auto"/>
                <w:kern w:val="2"/>
                <w:sz w:val="18"/>
                <w:szCs w:val="18"/>
              </w:rPr>
            </w:pPr>
            <w:r>
              <w:rPr>
                <w:rFonts w:hint="eastAsia" w:ascii="宋体" w:hAnsi="宋体" w:eastAsia="宋体" w:cs="宋体"/>
                <w:color w:val="auto"/>
                <w:kern w:val="2"/>
                <w:sz w:val="18"/>
                <w:szCs w:val="18"/>
                <w:lang w:val="en-US" w:eastAsia="zh-CN"/>
              </w:rPr>
              <w:t>对我州经济、社会、民生等建设领域及社会热点、难点问题，组织政协委员调研、视察，最终形成专题调研视察报告，向州委、州政府领导决策建言献策。发挥委员自身优势，为我州精准扶贫、经济发展等各项建设舔砖加瓦。通过政协全会等各种会议，凝聚人心，使政协三大职能得以认真履行。利用《社情民意》等多媒体宣传手段，宣传我州政协工作和我州新面貌、新气象。</w:t>
            </w:r>
          </w:p>
        </w:tc>
        <w:tc>
          <w:tcPr>
            <w:tcW w:w="4265" w:type="dxa"/>
            <w:gridSpan w:val="4"/>
            <w:noWrap w:val="0"/>
            <w:vAlign w:val="center"/>
          </w:tcPr>
          <w:p>
            <w:pPr>
              <w:keepNext w:val="0"/>
              <w:keepLines w:val="0"/>
              <w:widowControl w:val="0"/>
              <w:suppressLineNumbers w:val="0"/>
              <w:spacing w:before="0" w:beforeAutospacing="0" w:after="0" w:afterAutospacing="0" w:line="260" w:lineRule="exact"/>
              <w:ind w:left="0" w:right="5" w:firstLine="360" w:firstLineChars="200"/>
              <w:jc w:val="both"/>
              <w:rPr>
                <w:rFonts w:hint="eastAsia" w:ascii="宋体" w:hAnsi="宋体" w:eastAsia="宋体" w:cs="宋体"/>
                <w:color w:val="auto"/>
                <w:kern w:val="2"/>
                <w:sz w:val="18"/>
                <w:szCs w:val="18"/>
              </w:rPr>
            </w:pPr>
            <w:r>
              <w:rPr>
                <w:rFonts w:hint="eastAsia" w:ascii="宋体" w:hAnsi="宋体" w:eastAsia="宋体" w:cs="宋体"/>
                <w:color w:val="auto"/>
                <w:kern w:val="2"/>
                <w:sz w:val="18"/>
                <w:szCs w:val="18"/>
                <w:lang w:val="en-US" w:eastAsia="zh-CN"/>
              </w:rPr>
              <w:t>2021年，州政协紧紧围绕州政协十二届六次会议的总体安排和2021年州政协工作要点，积极履行政协职能，聚焦主责主业抓协商议政，强化宗旨意识抓履职为民，牵头筹备了州政协十二届六次会议，做好了常委会议、主席会议以及各类协商座谈会议等30余次会议的组织服务；围绕全州经济社会发展重要问题开展全会协商，州政协十二届六次会议共收到提案210件，编发《情况反映》25期经审查,立案的提案共160件。坚持网上网下结合，传统媒体与新媒体结合，多渠道、全方位开展宣传工作，在中央、省、州主流媒体不断发出“政协声音”。在国家、省、州各级媒体上稿120余篇，在政协云、州政协微信公众号、网站共发布稿件650多篇，让政协声音传得更开、更广、更深。围绕“三农”方面的重点难点问题，主动作为，积极组织界别委员深入开展调研视察和重点提案督办等活动，发挥委员自身优势，为我州精准扶贫、经济发展等各项建设舔砖加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17"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绩</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效</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指</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标</w:t>
            </w:r>
          </w:p>
        </w:tc>
        <w:tc>
          <w:tcPr>
            <w:tcW w:w="100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一级指标</w:t>
            </w:r>
          </w:p>
        </w:tc>
        <w:tc>
          <w:tcPr>
            <w:tcW w:w="94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二级指标</w:t>
            </w:r>
          </w:p>
        </w:tc>
        <w:tc>
          <w:tcPr>
            <w:tcW w:w="148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三级指标</w:t>
            </w:r>
          </w:p>
        </w:tc>
        <w:tc>
          <w:tcPr>
            <w:tcW w:w="1290"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年度</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指标值</w:t>
            </w:r>
          </w:p>
        </w:tc>
        <w:tc>
          <w:tcPr>
            <w:tcW w:w="970"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实际</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完成值</w:t>
            </w:r>
          </w:p>
        </w:tc>
        <w:tc>
          <w:tcPr>
            <w:tcW w:w="626"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分值</w:t>
            </w:r>
          </w:p>
        </w:tc>
        <w:tc>
          <w:tcPr>
            <w:tcW w:w="777"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得分</w:t>
            </w:r>
          </w:p>
        </w:tc>
        <w:tc>
          <w:tcPr>
            <w:tcW w:w="1892" w:type="dxa"/>
            <w:noWrap w:val="0"/>
            <w:vAlign w:val="top"/>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偏差原因</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005"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产出指标</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(50分)</w:t>
            </w:r>
          </w:p>
        </w:tc>
        <w:tc>
          <w:tcPr>
            <w:tcW w:w="945" w:type="dxa"/>
            <w:vMerge w:val="restar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数量</w:t>
            </w:r>
          </w:p>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设立委员工作室</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19</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19</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年度政协委员提案数</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＞200件</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210件</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提交优秀调研报告文稿数</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不少于10篇</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20余篇</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全年委员提案立案数</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不少于150件</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160件</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c>
          <w:tcPr>
            <w:tcW w:w="945"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质量</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重点提案提交完成率</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重点课题调研报告完成质量</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政协云管理到位率</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时效</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重点工作完成及时率</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民主监督意见完成率</w:t>
            </w:r>
          </w:p>
        </w:tc>
        <w:tc>
          <w:tcPr>
            <w:tcW w:w="129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777" w:type="dxa"/>
            <w:noWrap w:val="0"/>
            <w:vAlign w:val="center"/>
          </w:tcPr>
          <w:p>
            <w:pPr>
              <w:keepNext w:val="0"/>
              <w:keepLines w:val="0"/>
              <w:widowControl/>
              <w:suppressLineNumbers w:val="0"/>
              <w:spacing w:before="0" w:beforeAutospacing="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restart"/>
            <w:noWrap w:val="0"/>
            <w:vAlign w:val="center"/>
          </w:tcPr>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成本</w:t>
            </w:r>
          </w:p>
          <w:p>
            <w:pPr>
              <w:keepNext w:val="0"/>
              <w:keepLines w:val="0"/>
              <w:widowControl/>
              <w:suppressLineNumbers w:val="0"/>
              <w:spacing w:before="0" w:beforeAutospacing="0" w:afterAutospacing="0" w:line="260" w:lineRule="exact"/>
              <w:ind w:left="0" w:right="0"/>
              <w:jc w:val="center"/>
              <w:rPr>
                <w:rFonts w:hint="eastAsia" w:ascii="宋体" w:hAnsi="宋体" w:eastAsia="宋体" w:cs="宋体"/>
                <w:color w:val="auto"/>
                <w:sz w:val="18"/>
                <w:szCs w:val="18"/>
              </w:rPr>
            </w:pPr>
            <w:r>
              <w:rPr>
                <w:rFonts w:hint="eastAsia" w:ascii="宋体" w:hAnsi="宋体" w:eastAsia="宋体" w:cs="宋体"/>
                <w:color w:val="auto"/>
                <w:sz w:val="18"/>
                <w:szCs w:val="18"/>
              </w:rPr>
              <w:t>指标</w:t>
            </w:r>
          </w:p>
        </w:tc>
        <w:tc>
          <w:tcPr>
            <w:tcW w:w="148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在职人员控制率</w:t>
            </w:r>
          </w:p>
        </w:tc>
        <w:tc>
          <w:tcPr>
            <w:tcW w:w="129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98</w:t>
            </w:r>
            <w:r>
              <w:rPr>
                <w:rFonts w:hint="eastAsia" w:ascii="宋体" w:hAnsi="宋体" w:eastAsia="宋体" w:cs="宋体"/>
                <w:i w:val="0"/>
                <w:iCs w:val="0"/>
                <w:color w:val="auto"/>
                <w:kern w:val="0"/>
                <w:sz w:val="18"/>
                <w:szCs w:val="18"/>
                <w:u w:val="none"/>
                <w:lang w:val="en-US" w:eastAsia="zh-CN" w:bidi="ar"/>
              </w:rPr>
              <w:t>%</w:t>
            </w:r>
          </w:p>
        </w:tc>
        <w:tc>
          <w:tcPr>
            <w:tcW w:w="626"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公用经费控制率</w:t>
            </w:r>
          </w:p>
        </w:tc>
        <w:tc>
          <w:tcPr>
            <w:tcW w:w="129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4%</w:t>
            </w:r>
          </w:p>
        </w:tc>
        <w:tc>
          <w:tcPr>
            <w:tcW w:w="626"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“三公经费”控制率</w:t>
            </w:r>
          </w:p>
        </w:tc>
        <w:tc>
          <w:tcPr>
            <w:tcW w:w="129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47</w:t>
            </w:r>
            <w:r>
              <w:rPr>
                <w:rFonts w:hint="eastAsia" w:ascii="宋体" w:hAnsi="宋体" w:eastAsia="宋体" w:cs="宋体"/>
                <w:i w:val="0"/>
                <w:iCs w:val="0"/>
                <w:color w:val="auto"/>
                <w:kern w:val="0"/>
                <w:sz w:val="18"/>
                <w:szCs w:val="18"/>
                <w:u w:val="none"/>
                <w:lang w:val="en-US" w:eastAsia="zh-CN" w:bidi="ar"/>
              </w:rPr>
              <w:t>%</w:t>
            </w:r>
          </w:p>
        </w:tc>
        <w:tc>
          <w:tcPr>
            <w:tcW w:w="626"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77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政府采购执行率</w:t>
            </w:r>
          </w:p>
        </w:tc>
        <w:tc>
          <w:tcPr>
            <w:tcW w:w="129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100</w:t>
            </w:r>
            <w:r>
              <w:rPr>
                <w:rFonts w:hint="eastAsia" w:ascii="宋体" w:hAnsi="宋体" w:eastAsia="宋体" w:cs="宋体"/>
                <w:i w:val="0"/>
                <w:iCs w:val="0"/>
                <w:color w:val="auto"/>
                <w:kern w:val="0"/>
                <w:sz w:val="18"/>
                <w:szCs w:val="18"/>
                <w:u w:val="none"/>
                <w:lang w:val="en-US" w:eastAsia="zh-CN" w:bidi="ar"/>
              </w:rPr>
              <w:t>%</w:t>
            </w:r>
          </w:p>
        </w:tc>
        <w:tc>
          <w:tcPr>
            <w:tcW w:w="626"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77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cs="宋体"/>
                <w:i w:val="0"/>
                <w:iCs w:val="0"/>
                <w:color w:val="auto"/>
                <w:kern w:val="0"/>
                <w:sz w:val="18"/>
                <w:szCs w:val="18"/>
                <w:u w:val="none"/>
                <w:lang w:val="en-US" w:eastAsia="zh-CN" w:bidi="ar"/>
              </w:rPr>
              <w:t>2</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945"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48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固定资产利用率</w:t>
            </w:r>
          </w:p>
        </w:tc>
        <w:tc>
          <w:tcPr>
            <w:tcW w:w="129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970"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100%</w:t>
            </w:r>
          </w:p>
        </w:tc>
        <w:tc>
          <w:tcPr>
            <w:tcW w:w="626"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777"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18"/>
                <w:szCs w:val="18"/>
                <w:lang w:val="en-US" w:eastAsia="zh-CN"/>
              </w:rPr>
            </w:pPr>
            <w:r>
              <w:rPr>
                <w:rFonts w:hint="eastAsia" w:ascii="宋体" w:hAnsi="宋体" w:eastAsia="宋体" w:cs="宋体"/>
                <w:i w:val="0"/>
                <w:iCs w:val="0"/>
                <w:color w:val="auto"/>
                <w:kern w:val="0"/>
                <w:sz w:val="18"/>
                <w:szCs w:val="18"/>
                <w:u w:val="none"/>
                <w:lang w:val="en-US" w:eastAsia="zh-CN" w:bidi="ar"/>
              </w:rPr>
              <w:t>5</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restart"/>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效益指标</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 xml:space="preserve">（30分） </w:t>
            </w:r>
          </w:p>
        </w:tc>
        <w:tc>
          <w:tcPr>
            <w:tcW w:w="94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经济效</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益指标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助力乡村振兴</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“湘西州红军村红色贷，助力乡村振兴”启动</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全面启动，助力乡村振兴</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c>
          <w:tcPr>
            <w:tcW w:w="94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社会效益指标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脱贫攻坚任务</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both"/>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进一步巩固拓展了脱贫攻坚成果</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助力各项惠民政策落地落实</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c>
          <w:tcPr>
            <w:tcW w:w="945"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可持续影响指标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构建大服务格局，营造了平安和谐稳定工作环境</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服务格局提升</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不断巩固省级文明单位创建成果，营造了平安和谐稳定工作环境</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restart"/>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满意度</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指标</w:t>
            </w:r>
          </w:p>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（10分）</w:t>
            </w:r>
          </w:p>
        </w:tc>
        <w:tc>
          <w:tcPr>
            <w:tcW w:w="945" w:type="dxa"/>
            <w:vMerge w:val="restart"/>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服务对象满意度指标</w:t>
            </w: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部门满意度</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95%</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97%</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c>
          <w:tcPr>
            <w:tcW w:w="94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lang w:val="en-US" w:eastAsia="zh-CN"/>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服务对象满意度</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95%</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96%</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17" w:type="dxa"/>
            <w:vMerge w:val="continue"/>
            <w:noWrap w:val="0"/>
            <w:vAlign w:val="center"/>
          </w:tcPr>
          <w:p>
            <w:pPr>
              <w:keepNext w:val="0"/>
              <w:keepLines w:val="0"/>
              <w:widowControl/>
              <w:suppressLineNumbers w:val="0"/>
              <w:spacing w:before="0" w:beforeAutospacing="0" w:afterAutospacing="0" w:line="260" w:lineRule="exact"/>
              <w:ind w:left="0" w:right="0"/>
              <w:jc w:val="left"/>
              <w:rPr>
                <w:rFonts w:hint="eastAsia" w:ascii="宋体" w:hAnsi="宋体"/>
                <w:color w:val="auto"/>
                <w:sz w:val="18"/>
                <w:szCs w:val="18"/>
              </w:rPr>
            </w:pPr>
          </w:p>
        </w:tc>
        <w:tc>
          <w:tcPr>
            <w:tcW w:w="100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c>
          <w:tcPr>
            <w:tcW w:w="945" w:type="dxa"/>
            <w:vMerge w:val="continue"/>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lang w:val="en-US" w:eastAsia="zh-CN"/>
              </w:rPr>
            </w:pPr>
          </w:p>
        </w:tc>
        <w:tc>
          <w:tcPr>
            <w:tcW w:w="148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社会公众满意度</w:t>
            </w:r>
          </w:p>
        </w:tc>
        <w:tc>
          <w:tcPr>
            <w:tcW w:w="129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95%</w:t>
            </w:r>
          </w:p>
        </w:tc>
        <w:tc>
          <w:tcPr>
            <w:tcW w:w="970"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97%</w:t>
            </w:r>
          </w:p>
        </w:tc>
        <w:tc>
          <w:tcPr>
            <w:tcW w:w="626"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777"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712" w:type="dxa"/>
            <w:gridSpan w:val="6"/>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总 分</w:t>
            </w:r>
          </w:p>
        </w:tc>
        <w:tc>
          <w:tcPr>
            <w:tcW w:w="626"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r>
              <w:rPr>
                <w:rFonts w:hint="eastAsia" w:ascii="宋体" w:hAnsi="宋体" w:eastAsia="宋体" w:cs="宋体"/>
                <w:color w:val="auto"/>
                <w:kern w:val="2"/>
                <w:sz w:val="18"/>
                <w:szCs w:val="18"/>
              </w:rPr>
              <w:t>100</w:t>
            </w:r>
          </w:p>
        </w:tc>
        <w:tc>
          <w:tcPr>
            <w:tcW w:w="777" w:type="dxa"/>
            <w:noWrap w:val="0"/>
            <w:vAlign w:val="center"/>
          </w:tcPr>
          <w:p>
            <w:pPr>
              <w:keepNext w:val="0"/>
              <w:keepLines w:val="0"/>
              <w:widowControl w:val="0"/>
              <w:suppressLineNumbers w:val="0"/>
              <w:spacing w:before="0" w:beforeAutospacing="0" w:after="0" w:afterAutospacing="0" w:line="300" w:lineRule="exact"/>
              <w:ind w:left="0" w:right="0"/>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97.90</w:t>
            </w:r>
          </w:p>
        </w:tc>
        <w:tc>
          <w:tcPr>
            <w:tcW w:w="1892" w:type="dxa"/>
            <w:noWrap w:val="0"/>
            <w:vAlign w:val="center"/>
          </w:tcPr>
          <w:p>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auto"/>
                <w:kern w:val="2"/>
                <w:sz w:val="18"/>
                <w:szCs w:val="18"/>
              </w:rPr>
            </w:pPr>
          </w:p>
        </w:tc>
      </w:tr>
    </w:tbl>
    <w:p>
      <w:pPr>
        <w:widowControl w:val="0"/>
        <w:spacing w:after="0" w:line="300" w:lineRule="exact"/>
        <w:jc w:val="left"/>
        <w:rPr>
          <w:rFonts w:hint="eastAsia" w:ascii="宋体" w:hAnsi="宋体" w:eastAsia="宋体" w:cs="宋体"/>
          <w:color w:val="auto"/>
          <w:kern w:val="2"/>
          <w:sz w:val="18"/>
          <w:szCs w:val="18"/>
          <w:lang w:val="en-US" w:eastAsia="zh-CN"/>
        </w:rPr>
      </w:pPr>
    </w:p>
    <w:p>
      <w:pPr>
        <w:widowControl w:val="0"/>
        <w:spacing w:after="0" w:line="300" w:lineRule="exact"/>
        <w:jc w:val="left"/>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 xml:space="preserve">单位负责人签字：      </w:t>
      </w:r>
      <w:r>
        <w:rPr>
          <w:rFonts w:hint="default" w:ascii="宋体" w:hAnsi="宋体" w:eastAsia="宋体" w:cs="宋体"/>
          <w:color w:val="auto"/>
          <w:kern w:val="2"/>
          <w:sz w:val="18"/>
          <w:szCs w:val="18"/>
          <w:lang w:val="en-US" w:eastAsia="zh-CN"/>
        </w:rPr>
        <w:t xml:space="preserve">  </w:t>
      </w:r>
      <w:r>
        <w:rPr>
          <w:rFonts w:hint="eastAsia" w:ascii="宋体" w:hAnsi="宋体" w:eastAsia="宋体" w:cs="宋体"/>
          <w:color w:val="auto"/>
          <w:kern w:val="2"/>
          <w:sz w:val="18"/>
          <w:szCs w:val="18"/>
          <w:lang w:val="en-US" w:eastAsia="zh-CN"/>
        </w:rPr>
        <w:t xml:space="preserve"> 填表人： 郭震寰 </w:t>
      </w:r>
      <w:r>
        <w:rPr>
          <w:rFonts w:hint="default" w:ascii="宋体" w:hAnsi="宋体" w:eastAsia="宋体" w:cs="宋体"/>
          <w:color w:val="auto"/>
          <w:kern w:val="2"/>
          <w:sz w:val="18"/>
          <w:szCs w:val="18"/>
          <w:lang w:val="en-US" w:eastAsia="zh-CN"/>
        </w:rPr>
        <w:t xml:space="preserve"> </w:t>
      </w:r>
      <w:r>
        <w:rPr>
          <w:rFonts w:hint="eastAsia" w:ascii="宋体" w:hAnsi="宋体" w:eastAsia="宋体" w:cs="宋体"/>
          <w:color w:val="auto"/>
          <w:kern w:val="2"/>
          <w:sz w:val="18"/>
          <w:szCs w:val="18"/>
          <w:lang w:val="en-US" w:eastAsia="zh-CN"/>
        </w:rPr>
        <w:t xml:space="preserve">联系电话： 18974319101  </w:t>
      </w:r>
      <w:r>
        <w:rPr>
          <w:rFonts w:hint="default" w:ascii="宋体" w:hAnsi="宋体" w:eastAsia="宋体" w:cs="宋体"/>
          <w:color w:val="auto"/>
          <w:kern w:val="2"/>
          <w:sz w:val="18"/>
          <w:szCs w:val="18"/>
          <w:lang w:val="en-US" w:eastAsia="zh-CN"/>
        </w:rPr>
        <w:t xml:space="preserve"> </w:t>
      </w:r>
      <w:r>
        <w:rPr>
          <w:rFonts w:hint="eastAsia" w:ascii="宋体" w:hAnsi="宋体" w:eastAsia="宋体" w:cs="宋体"/>
          <w:color w:val="auto"/>
          <w:kern w:val="2"/>
          <w:sz w:val="18"/>
          <w:szCs w:val="18"/>
          <w:lang w:val="en-US" w:eastAsia="zh-CN"/>
        </w:rPr>
        <w:t xml:space="preserve">填报日期：2021 年6 月15日 </w:t>
      </w: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spacing w:after="0" w:line="580" w:lineRule="exact"/>
        <w:jc w:val="both"/>
        <w:rPr>
          <w:rFonts w:ascii="宋体" w:hAnsi="宋体" w:eastAsia="宋体" w:cs="宋体"/>
          <w:color w:val="auto"/>
          <w:sz w:val="20"/>
          <w:szCs w:val="20"/>
        </w:rPr>
      </w:pPr>
    </w:p>
    <w:p>
      <w:pPr>
        <w:jc w:val="both"/>
        <w:rPr>
          <w:rFonts w:hint="eastAsia" w:ascii="黑体" w:hAnsi="黑体" w:eastAsia="黑体"/>
          <w:b/>
          <w:bCs/>
          <w:color w:val="auto"/>
          <w:sz w:val="30"/>
          <w:szCs w:val="30"/>
          <w:lang w:val="en-US" w:eastAsia="zh-CN"/>
        </w:rPr>
      </w:pPr>
      <w:r>
        <w:rPr>
          <w:rFonts w:hint="eastAsia" w:ascii="黑体" w:hAnsi="黑体" w:eastAsia="黑体"/>
          <w:b/>
          <w:bCs/>
          <w:color w:val="auto"/>
          <w:sz w:val="30"/>
          <w:szCs w:val="30"/>
        </w:rPr>
        <w:t>附件</w:t>
      </w:r>
      <w:r>
        <w:rPr>
          <w:rFonts w:hint="eastAsia" w:ascii="黑体" w:hAnsi="黑体" w:eastAsia="黑体"/>
          <w:b/>
          <w:bCs/>
          <w:color w:val="auto"/>
          <w:sz w:val="30"/>
          <w:szCs w:val="30"/>
          <w:lang w:val="en-US" w:eastAsia="zh-CN"/>
        </w:rPr>
        <w:t>3：湘西州政协办公室关于2021年度整体支出绩效评价的通知</w:t>
      </w:r>
    </w:p>
    <w:p>
      <w:pPr>
        <w:spacing w:after="0" w:line="580" w:lineRule="exact"/>
        <w:jc w:val="both"/>
        <w:rPr>
          <w:rFonts w:hint="eastAsia" w:ascii="仿宋" w:hAnsi="仿宋" w:eastAsia="仿宋" w:cs="仿宋"/>
          <w:color w:val="auto"/>
          <w:sz w:val="30"/>
          <w:szCs w:val="30"/>
          <w:lang w:val="en-US" w:eastAsia="zh-CN"/>
        </w:rPr>
      </w:pPr>
      <w:r>
        <w:drawing>
          <wp:anchor distT="0" distB="0" distL="114300" distR="114300" simplePos="0" relativeHeight="251659264" behindDoc="0" locked="0" layoutInCell="1" allowOverlap="1">
            <wp:simplePos x="0" y="0"/>
            <wp:positionH relativeFrom="column">
              <wp:posOffset>301625</wp:posOffset>
            </wp:positionH>
            <wp:positionV relativeFrom="paragraph">
              <wp:posOffset>57150</wp:posOffset>
            </wp:positionV>
            <wp:extent cx="5179060" cy="7317105"/>
            <wp:effectExtent l="0" t="0" r="2540" b="1714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79060" cy="7317105"/>
                    </a:xfrm>
                    <a:prstGeom prst="rect">
                      <a:avLst/>
                    </a:prstGeom>
                    <a:noFill/>
                    <a:ln>
                      <a:noFill/>
                    </a:ln>
                  </pic:spPr>
                </pic:pic>
              </a:graphicData>
            </a:graphic>
          </wp:anchor>
        </w:drawing>
      </w:r>
    </w:p>
    <w:p>
      <w:pPr>
        <w:spacing w:after="0" w:line="580" w:lineRule="exact"/>
        <w:jc w:val="both"/>
        <w:rPr>
          <w:rFonts w:ascii="宋体" w:hAnsi="宋体" w:eastAsia="宋体" w:cs="宋体"/>
          <w:color w:val="auto"/>
          <w:sz w:val="20"/>
          <w:szCs w:val="20"/>
        </w:rPr>
      </w:pPr>
      <w:r>
        <w:rPr>
          <w:rFonts w:hint="eastAsia" w:ascii="仿宋" w:hAnsi="仿宋" w:eastAsia="仿宋" w:cs="仿宋"/>
          <w:color w:val="auto"/>
          <w:sz w:val="30"/>
          <w:szCs w:val="30"/>
        </w:rPr>
        <w:t>　　　</w:t>
      </w:r>
    </w:p>
    <w:p>
      <w:pPr>
        <w:spacing w:after="0" w:line="580" w:lineRule="exact"/>
        <w:jc w:val="both"/>
        <w:rPr>
          <w:rFonts w:hint="eastAsia" w:ascii="宋体" w:hAnsi="宋体" w:eastAsia="宋体" w:cs="宋体"/>
          <w:color w:val="auto"/>
          <w:sz w:val="20"/>
          <w:szCs w:val="20"/>
          <w:lang w:val="en-US" w:eastAsia="zh-CN"/>
        </w:rPr>
      </w:pPr>
    </w:p>
    <w:p>
      <w:pPr>
        <w:spacing w:after="0" w:line="580" w:lineRule="exact"/>
        <w:jc w:val="both"/>
        <w:rPr>
          <w:rFonts w:hint="default" w:ascii="宋体" w:hAnsi="宋体" w:eastAsia="宋体" w:cs="宋体"/>
          <w:color w:val="auto"/>
          <w:sz w:val="20"/>
          <w:szCs w:val="20"/>
          <w:lang w:val="en-US"/>
        </w:rPr>
      </w:pPr>
    </w:p>
    <w:p>
      <w:pPr>
        <w:spacing w:after="0" w:line="580" w:lineRule="exact"/>
        <w:jc w:val="both"/>
        <w:rPr>
          <w:rFonts w:hint="default" w:ascii="宋体" w:hAnsi="宋体" w:eastAsia="宋体" w:cs="宋体"/>
          <w:color w:val="auto"/>
          <w:sz w:val="20"/>
          <w:szCs w:val="20"/>
          <w:lang w:val="en-US"/>
        </w:rPr>
      </w:pPr>
    </w:p>
    <w:p>
      <w:pPr>
        <w:bidi w:val="0"/>
        <w:rPr>
          <w:rFonts w:hint="default" w:asciiTheme="minorHAnsi" w:hAnsiTheme="minorHAnsi" w:eastAsiaTheme="minorEastAsia" w:cstheme="minorBidi"/>
          <w:sz w:val="21"/>
          <w:szCs w:val="21"/>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5294630" cy="7479030"/>
            <wp:effectExtent l="0" t="0" r="1270" b="7620"/>
            <wp:docPr id="7" name="图片 7" descr="绩效自评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绩效自评文件_01"/>
                    <pic:cNvPicPr>
                      <a:picLocks noChangeAspect="1"/>
                    </pic:cNvPicPr>
                  </pic:nvPicPr>
                  <pic:blipFill>
                    <a:blip r:embed="rId8"/>
                    <a:stretch>
                      <a:fillRect/>
                    </a:stretch>
                  </pic:blipFill>
                  <pic:spPr>
                    <a:xfrm>
                      <a:off x="0" y="0"/>
                      <a:ext cx="5294630" cy="7479030"/>
                    </a:xfrm>
                    <a:prstGeom prst="rect">
                      <a:avLst/>
                    </a:prstGeom>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5859780" cy="8277225"/>
            <wp:effectExtent l="0" t="0" r="7620" b="9525"/>
            <wp:docPr id="8" name="图片 8" descr="绩效自评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绩效自评文件_02"/>
                    <pic:cNvPicPr>
                      <a:picLocks noChangeAspect="1"/>
                    </pic:cNvPicPr>
                  </pic:nvPicPr>
                  <pic:blipFill>
                    <a:blip r:embed="rId9"/>
                    <a:stretch>
                      <a:fillRect/>
                    </a:stretch>
                  </pic:blipFill>
                  <pic:spPr>
                    <a:xfrm>
                      <a:off x="0" y="0"/>
                      <a:ext cx="5859780" cy="8277225"/>
                    </a:xfrm>
                    <a:prstGeom prst="rect">
                      <a:avLst/>
                    </a:prstGeom>
                  </pic:spPr>
                </pic:pic>
              </a:graphicData>
            </a:graphic>
          </wp:inline>
        </w:drawing>
      </w:r>
    </w:p>
    <w:p>
      <w:pPr>
        <w:bidi w:val="0"/>
        <w:jc w:val="center"/>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5859780" cy="8277225"/>
            <wp:effectExtent l="0" t="0" r="7620" b="9525"/>
            <wp:docPr id="9" name="图片 9" descr="绩效自评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绩效自评文件_03"/>
                    <pic:cNvPicPr>
                      <a:picLocks noChangeAspect="1"/>
                    </pic:cNvPicPr>
                  </pic:nvPicPr>
                  <pic:blipFill>
                    <a:blip r:embed="rId10"/>
                    <a:stretch>
                      <a:fillRect/>
                    </a:stretch>
                  </pic:blipFill>
                  <pic:spPr>
                    <a:xfrm>
                      <a:off x="0" y="0"/>
                      <a:ext cx="5859780" cy="8277225"/>
                    </a:xfrm>
                    <a:prstGeom prst="rect">
                      <a:avLst/>
                    </a:prstGeom>
                  </pic:spPr>
                </pic:pic>
              </a:graphicData>
            </a:graphic>
          </wp:inline>
        </w:drawing>
      </w:r>
    </w:p>
    <w:p>
      <w:pPr>
        <w:bidi w:val="0"/>
        <w:jc w:val="both"/>
        <w:rPr>
          <w:rFonts w:hint="default"/>
          <w:lang w:val="en-US" w:eastAsia="zh-CN"/>
        </w:rPr>
      </w:pPr>
    </w:p>
    <w:sectPr>
      <w:pgSz w:w="11906" w:h="16838"/>
      <w:pgMar w:top="1440" w:right="1489" w:bottom="1440" w:left="1177" w:header="709" w:footer="709" w:gutter="0"/>
      <w:cols w:space="0" w:num="1"/>
      <w:docGrid w:type="linesAndChars" w:linePitch="37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1B6C60D-6855-4D7E-BBE3-1C62B30CA405}"/>
  </w:font>
  <w:font w:name="黑体">
    <w:panose1 w:val="02010609060101010101"/>
    <w:charset w:val="86"/>
    <w:family w:val="auto"/>
    <w:pitch w:val="default"/>
    <w:sig w:usb0="800002BF" w:usb1="38CF7CFA" w:usb2="00000016" w:usb3="00000000" w:csb0="00040001" w:csb1="00000000"/>
    <w:embedRegular r:id="rId2" w:fontKey="{B967EB6B-1495-4421-8FCB-F966F221B44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652DA1E-916A-467A-89ED-94C8EF378E91}"/>
  </w:font>
  <w:font w:name="Franklin Gothic Book">
    <w:altName w:val="Segoe Print"/>
    <w:panose1 w:val="00000000000000000000"/>
    <w:charset w:val="00"/>
    <w:family w:val="swiss"/>
    <w:pitch w:val="default"/>
    <w:sig w:usb0="00000000" w:usb1="00000000" w:usb2="00000000" w:usb3="00000000" w:csb0="0000009F" w:csb1="00000000"/>
    <w:embedRegular r:id="rId4" w:fontKey="{D34F1E02-EDE3-4DDD-B46B-200C72F6753D}"/>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5" w:fontKey="{613A09CC-56DA-421D-B036-6D122BB44B00}"/>
  </w:font>
  <w:font w:name="Franklin Gothic Medium">
    <w:panose1 w:val="020B0603020102020204"/>
    <w:charset w:val="00"/>
    <w:family w:val="swiss"/>
    <w:pitch w:val="default"/>
    <w:sig w:usb0="00000287" w:usb1="00000000" w:usb2="00000000" w:usb3="00000000" w:csb0="2000009F" w:csb1="DFD7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embedRegular r:id="rId6" w:fontKey="{51A9FEF5-C1D9-4E90-B016-728C6DA3B5C6}"/>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7" w:fontKey="{CE5573A9-6439-4288-9709-EF4D407B15B7}"/>
  </w:font>
  <w:font w:name="仿宋">
    <w:panose1 w:val="02010609060101010101"/>
    <w:charset w:val="86"/>
    <w:family w:val="auto"/>
    <w:pitch w:val="default"/>
    <w:sig w:usb0="800002BF" w:usb1="38CF7CFA" w:usb2="00000016" w:usb3="00000000" w:csb0="00040001" w:csb1="00000000"/>
    <w:embedRegular r:id="rId8" w:fontKey="{6D95B037-7ADC-43C8-B889-060DF16FA1CC}"/>
  </w:font>
  <w:font w:name="方正小标宋简体">
    <w:altName w:val="黑体"/>
    <w:panose1 w:val="02010601030101010101"/>
    <w:charset w:val="86"/>
    <w:family w:val="auto"/>
    <w:pitch w:val="default"/>
    <w:sig w:usb0="00000000" w:usb1="00000000" w:usb2="00000010" w:usb3="00000000" w:csb0="00040000" w:csb1="00000000"/>
    <w:embedRegular r:id="rId9" w:fontKey="{0F47A190-D1E6-415F-923E-5F056CC6F26B}"/>
  </w:font>
  <w:font w:name="隶书">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20040" cy="264795"/>
              <wp:effectExtent l="0" t="0" r="0" b="0"/>
              <wp:wrapNone/>
              <wp:docPr id="6" name="Text Box 1027"/>
              <wp:cNvGraphicFramePr/>
              <a:graphic xmlns:a="http://schemas.openxmlformats.org/drawingml/2006/main">
                <a:graphicData uri="http://schemas.microsoft.com/office/word/2010/wordprocessingShape">
                  <wps:wsp>
                    <wps:cNvSpPr txBox="1">
                      <a:spLocks noChangeArrowheads="1"/>
                    </wps:cNvSpPr>
                    <wps:spPr bwMode="auto">
                      <a:xfrm>
                        <a:off x="0" y="0"/>
                        <a:ext cx="320040" cy="264795"/>
                      </a:xfrm>
                      <a:prstGeom prst="rect">
                        <a:avLst/>
                      </a:prstGeom>
                      <a:noFill/>
                      <a:ln>
                        <a:noFill/>
                      </a:ln>
                    </wps:spPr>
                    <wps:txbx>
                      <w:txbxContent>
                        <w:p>
                          <w:pPr>
                            <w:jc w:val="center"/>
                            <w:rPr>
                              <w:rFonts w:ascii="宋体" w:hAnsi="宋体" w:eastAsia="宋体"/>
                              <w:sz w:val="18"/>
                            </w:rPr>
                          </w:pPr>
                          <w:r>
                            <w:rPr>
                              <w:rFonts w:hint="eastAsia" w:ascii="宋体" w:hAnsi="宋体" w:eastAsia="宋体"/>
                              <w:sz w:val="18"/>
                            </w:rPr>
                            <w:fldChar w:fldCharType="begin"/>
                          </w:r>
                          <w:r>
                            <w:rPr>
                              <w:rFonts w:hint="eastAsia" w:ascii="宋体" w:hAnsi="宋体" w:eastAsia="宋体"/>
                              <w:sz w:val="18"/>
                            </w:rPr>
                            <w:instrText xml:space="preserve"> PAGE  \* MERGEFORMAT </w:instrText>
                          </w:r>
                          <w:r>
                            <w:rPr>
                              <w:rFonts w:hint="eastAsia" w:ascii="宋体" w:hAnsi="宋体" w:eastAsia="宋体"/>
                              <w:sz w:val="18"/>
                            </w:rPr>
                            <w:fldChar w:fldCharType="separate"/>
                          </w:r>
                          <w:r>
                            <w:rPr>
                              <w:rFonts w:ascii="宋体" w:hAnsi="宋体" w:eastAsia="宋体"/>
                              <w:sz w:val="18"/>
                            </w:rPr>
                            <w:t>7</w:t>
                          </w:r>
                          <w:r>
                            <w:rPr>
                              <w:rFonts w:hint="eastAsia" w:ascii="宋体" w:hAnsi="宋体" w:eastAsia="宋体"/>
                              <w:sz w:val="18"/>
                            </w:rPr>
                            <w:fldChar w:fldCharType="end"/>
                          </w:r>
                        </w:p>
                      </w:txbxContent>
                    </wps:txbx>
                    <wps:bodyPr rot="0" vert="horz" wrap="square" lIns="0" tIns="0" rIns="0" bIns="0" anchor="t" anchorCtr="0" upright="1">
                      <a:spAutoFit/>
                    </wps:bodyPr>
                  </wps:wsp>
                </a:graphicData>
              </a:graphic>
            </wp:anchor>
          </w:drawing>
        </mc:Choice>
        <mc:Fallback>
          <w:pict>
            <v:shape id="Text Box 1027" o:spid="_x0000_s1026" o:spt="202" type="#_x0000_t202" style="position:absolute;left:0pt;margin-top:0pt;height:20.85pt;width:25.2pt;mso-position-horizontal:center;mso-position-horizontal-relative:margin;z-index:251660288;mso-width-relative:page;mso-height-relative:page;" filled="f" stroked="f" coordsize="21600,21600" o:gfxdata="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eZew9IAAAADAQAADwAAAAAAAAABACAAAAAiAAAAZHJzL2Rvd25yZXYueG1s&#10;UEsBAhQAFAAAAAgAh07iQJEHIj3+AQAABgQAAA4AAAAAAAAAAQAgAAAAIQEAAGRycy9lMm9Eb2Mu&#10;eG1sUEsFBgAAAAAGAAYAWQEAAJEFAAAAAA==&#10;">
              <v:fill on="f" focussize="0,0"/>
              <v:stroke on="f"/>
              <v:imagedata o:title=""/>
              <o:lock v:ext="edit" aspectratio="f"/>
              <v:textbox inset="0mm,0mm,0mm,0mm" style="mso-fit-shape-to-text:t;">
                <w:txbxContent>
                  <w:p>
                    <w:pPr>
                      <w:jc w:val="center"/>
                      <w:rPr>
                        <w:rFonts w:ascii="宋体" w:hAnsi="宋体" w:eastAsia="宋体"/>
                        <w:sz w:val="18"/>
                      </w:rPr>
                    </w:pPr>
                    <w:r>
                      <w:rPr>
                        <w:rFonts w:hint="eastAsia" w:ascii="宋体" w:hAnsi="宋体" w:eastAsia="宋体"/>
                        <w:sz w:val="18"/>
                      </w:rPr>
                      <w:fldChar w:fldCharType="begin"/>
                    </w:r>
                    <w:r>
                      <w:rPr>
                        <w:rFonts w:hint="eastAsia" w:ascii="宋体" w:hAnsi="宋体" w:eastAsia="宋体"/>
                        <w:sz w:val="18"/>
                      </w:rPr>
                      <w:instrText xml:space="preserve"> PAGE  \* MERGEFORMAT </w:instrText>
                    </w:r>
                    <w:r>
                      <w:rPr>
                        <w:rFonts w:hint="eastAsia" w:ascii="宋体" w:hAnsi="宋体" w:eastAsia="宋体"/>
                        <w:sz w:val="18"/>
                      </w:rPr>
                      <w:fldChar w:fldCharType="separate"/>
                    </w:r>
                    <w:r>
                      <w:rPr>
                        <w:rFonts w:ascii="宋体" w:hAnsi="宋体" w:eastAsia="宋体"/>
                        <w:sz w:val="18"/>
                      </w:rPr>
                      <w:t>7</w:t>
                    </w:r>
                    <w:r>
                      <w:rPr>
                        <w:rFonts w:hint="eastAsia" w:ascii="宋体" w:hAnsi="宋体" w:eastAsia="宋体"/>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5125C"/>
    <w:multiLevelType w:val="singleLevel"/>
    <w:tmpl w:val="B9E5125C"/>
    <w:lvl w:ilvl="0" w:tentative="0">
      <w:start w:val="2"/>
      <w:numFmt w:val="chineseCounting"/>
      <w:suff w:val="nothing"/>
      <w:lvlText w:val="%1、"/>
      <w:lvlJc w:val="left"/>
      <w:rPr>
        <w:rFonts w:hint="eastAsia"/>
      </w:rPr>
    </w:lvl>
  </w:abstractNum>
  <w:abstractNum w:abstractNumId="1">
    <w:nsid w:val="CB7B9510"/>
    <w:multiLevelType w:val="singleLevel"/>
    <w:tmpl w:val="CB7B9510"/>
    <w:lvl w:ilvl="0" w:tentative="0">
      <w:start w:val="1"/>
      <w:numFmt w:val="decimal"/>
      <w:suff w:val="nothing"/>
      <w:lvlText w:val="（%1）"/>
      <w:lvlJc w:val="left"/>
    </w:lvl>
  </w:abstractNum>
  <w:abstractNum w:abstractNumId="2">
    <w:nsid w:val="F71A9805"/>
    <w:multiLevelType w:val="singleLevel"/>
    <w:tmpl w:val="F71A9805"/>
    <w:lvl w:ilvl="0" w:tentative="0">
      <w:start w:val="1"/>
      <w:numFmt w:val="decimal"/>
      <w:suff w:val="nothing"/>
      <w:lvlText w:val="%1．"/>
      <w:lvlJc w:val="left"/>
      <w:pPr>
        <w:ind w:left="0" w:firstLine="400"/>
      </w:pPr>
      <w:rPr>
        <w:rFonts w:hint="default"/>
      </w:rPr>
    </w:lvl>
  </w:abstractNum>
  <w:abstractNum w:abstractNumId="3">
    <w:nsid w:val="FFB13BCB"/>
    <w:multiLevelType w:val="singleLevel"/>
    <w:tmpl w:val="FFB13BCB"/>
    <w:lvl w:ilvl="0" w:tentative="0">
      <w:start w:val="1"/>
      <w:numFmt w:val="decimal"/>
      <w:lvlText w:val="(%1)"/>
      <w:lvlJc w:val="left"/>
      <w:pPr>
        <w:ind w:left="425" w:hanging="425"/>
      </w:pPr>
      <w:rPr>
        <w:rFonts w:hint="default"/>
      </w:rPr>
    </w:lvl>
  </w:abstractNum>
  <w:abstractNum w:abstractNumId="4">
    <w:nsid w:val="05237933"/>
    <w:multiLevelType w:val="singleLevel"/>
    <w:tmpl w:val="05237933"/>
    <w:lvl w:ilvl="0" w:tentative="0">
      <w:start w:val="2"/>
      <w:numFmt w:val="decimal"/>
      <w:suff w:val="nothing"/>
      <w:lvlText w:val="%1、"/>
      <w:lvlJc w:val="left"/>
    </w:lvl>
  </w:abstractNum>
  <w:abstractNum w:abstractNumId="5">
    <w:nsid w:val="68A66E19"/>
    <w:multiLevelType w:val="singleLevel"/>
    <w:tmpl w:val="68A66E19"/>
    <w:lvl w:ilvl="0" w:tentative="0">
      <w:start w:val="5"/>
      <w:numFmt w:val="chineseCounting"/>
      <w:suff w:val="nothing"/>
      <w:lvlText w:val="%1、"/>
      <w:lvlJc w:val="left"/>
      <w:rPr>
        <w:rFonts w:hint="eastAsia"/>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rawingGridVerticalSpacing w:val="189"/>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xYTRjNWJkNmM0MThiYTUzMTVhNmY1MWIzYjVjY2IifQ=="/>
  </w:docVars>
  <w:rsids>
    <w:rsidRoot w:val="004412BF"/>
    <w:rsid w:val="00000FF3"/>
    <w:rsid w:val="0000210C"/>
    <w:rsid w:val="00003926"/>
    <w:rsid w:val="00003D56"/>
    <w:rsid w:val="00005279"/>
    <w:rsid w:val="00006F57"/>
    <w:rsid w:val="0001138A"/>
    <w:rsid w:val="00011B7E"/>
    <w:rsid w:val="00014B33"/>
    <w:rsid w:val="0001513A"/>
    <w:rsid w:val="0001659C"/>
    <w:rsid w:val="000165F4"/>
    <w:rsid w:val="00023847"/>
    <w:rsid w:val="000249E1"/>
    <w:rsid w:val="00027166"/>
    <w:rsid w:val="00031746"/>
    <w:rsid w:val="00031A67"/>
    <w:rsid w:val="00031EC6"/>
    <w:rsid w:val="0003401A"/>
    <w:rsid w:val="00040AAF"/>
    <w:rsid w:val="0004573E"/>
    <w:rsid w:val="00052BF0"/>
    <w:rsid w:val="00053EBF"/>
    <w:rsid w:val="00054BCD"/>
    <w:rsid w:val="00057187"/>
    <w:rsid w:val="000575A3"/>
    <w:rsid w:val="00060237"/>
    <w:rsid w:val="000613A2"/>
    <w:rsid w:val="00064010"/>
    <w:rsid w:val="00064033"/>
    <w:rsid w:val="000652ED"/>
    <w:rsid w:val="000667DB"/>
    <w:rsid w:val="00067268"/>
    <w:rsid w:val="00073668"/>
    <w:rsid w:val="000809E4"/>
    <w:rsid w:val="000818B2"/>
    <w:rsid w:val="00082873"/>
    <w:rsid w:val="0009005B"/>
    <w:rsid w:val="00090402"/>
    <w:rsid w:val="000925CB"/>
    <w:rsid w:val="000943A1"/>
    <w:rsid w:val="00094856"/>
    <w:rsid w:val="00095304"/>
    <w:rsid w:val="000956E6"/>
    <w:rsid w:val="000957DC"/>
    <w:rsid w:val="00095D04"/>
    <w:rsid w:val="0009624A"/>
    <w:rsid w:val="000A2B4E"/>
    <w:rsid w:val="000A3C43"/>
    <w:rsid w:val="000A4C40"/>
    <w:rsid w:val="000A55A7"/>
    <w:rsid w:val="000A5ADF"/>
    <w:rsid w:val="000A5D5A"/>
    <w:rsid w:val="000A5FC2"/>
    <w:rsid w:val="000A73A2"/>
    <w:rsid w:val="000B0240"/>
    <w:rsid w:val="000B07AC"/>
    <w:rsid w:val="000B2683"/>
    <w:rsid w:val="000B2FD5"/>
    <w:rsid w:val="000B4B2E"/>
    <w:rsid w:val="000B7A93"/>
    <w:rsid w:val="000C162E"/>
    <w:rsid w:val="000C5105"/>
    <w:rsid w:val="000C690B"/>
    <w:rsid w:val="000C7D7C"/>
    <w:rsid w:val="000D0276"/>
    <w:rsid w:val="000D0D16"/>
    <w:rsid w:val="000D2616"/>
    <w:rsid w:val="000D29AA"/>
    <w:rsid w:val="000D3AD9"/>
    <w:rsid w:val="000D5D6A"/>
    <w:rsid w:val="000D751E"/>
    <w:rsid w:val="000E1B2A"/>
    <w:rsid w:val="000E2891"/>
    <w:rsid w:val="000E3D02"/>
    <w:rsid w:val="000E4F3E"/>
    <w:rsid w:val="000E6813"/>
    <w:rsid w:val="000F2135"/>
    <w:rsid w:val="000F47EF"/>
    <w:rsid w:val="000F4E2E"/>
    <w:rsid w:val="000F72F7"/>
    <w:rsid w:val="00100C93"/>
    <w:rsid w:val="00104451"/>
    <w:rsid w:val="00107FA8"/>
    <w:rsid w:val="0011126C"/>
    <w:rsid w:val="00114E56"/>
    <w:rsid w:val="00120879"/>
    <w:rsid w:val="00121209"/>
    <w:rsid w:val="00124AEB"/>
    <w:rsid w:val="00126C99"/>
    <w:rsid w:val="001275E9"/>
    <w:rsid w:val="00127F66"/>
    <w:rsid w:val="00130881"/>
    <w:rsid w:val="00130C32"/>
    <w:rsid w:val="00132B7B"/>
    <w:rsid w:val="001343B1"/>
    <w:rsid w:val="00134CCB"/>
    <w:rsid w:val="00135102"/>
    <w:rsid w:val="00135C9D"/>
    <w:rsid w:val="00135FEB"/>
    <w:rsid w:val="00136C52"/>
    <w:rsid w:val="00140E01"/>
    <w:rsid w:val="00144D7C"/>
    <w:rsid w:val="0014544D"/>
    <w:rsid w:val="00147AEB"/>
    <w:rsid w:val="00150F25"/>
    <w:rsid w:val="001557A0"/>
    <w:rsid w:val="001625C0"/>
    <w:rsid w:val="0016455E"/>
    <w:rsid w:val="001655BE"/>
    <w:rsid w:val="00165A0D"/>
    <w:rsid w:val="00165EE2"/>
    <w:rsid w:val="001676FB"/>
    <w:rsid w:val="00170232"/>
    <w:rsid w:val="00170916"/>
    <w:rsid w:val="00171B2E"/>
    <w:rsid w:val="00175F36"/>
    <w:rsid w:val="00177891"/>
    <w:rsid w:val="00187D3D"/>
    <w:rsid w:val="001923D2"/>
    <w:rsid w:val="00193C05"/>
    <w:rsid w:val="00195200"/>
    <w:rsid w:val="00195220"/>
    <w:rsid w:val="00195A01"/>
    <w:rsid w:val="00195A9D"/>
    <w:rsid w:val="0019638A"/>
    <w:rsid w:val="00197889"/>
    <w:rsid w:val="001A155D"/>
    <w:rsid w:val="001A1DC8"/>
    <w:rsid w:val="001A3A19"/>
    <w:rsid w:val="001A5E21"/>
    <w:rsid w:val="001A7D90"/>
    <w:rsid w:val="001B2530"/>
    <w:rsid w:val="001B6EE8"/>
    <w:rsid w:val="001B760E"/>
    <w:rsid w:val="001C2154"/>
    <w:rsid w:val="001C26D3"/>
    <w:rsid w:val="001C3330"/>
    <w:rsid w:val="001C4C9A"/>
    <w:rsid w:val="001C6BBD"/>
    <w:rsid w:val="001D0089"/>
    <w:rsid w:val="001D153A"/>
    <w:rsid w:val="001D3701"/>
    <w:rsid w:val="001D376C"/>
    <w:rsid w:val="001D4E78"/>
    <w:rsid w:val="001D531A"/>
    <w:rsid w:val="001D5C4C"/>
    <w:rsid w:val="001D797A"/>
    <w:rsid w:val="001E24EE"/>
    <w:rsid w:val="001E5F3B"/>
    <w:rsid w:val="001F0ACF"/>
    <w:rsid w:val="001F1B59"/>
    <w:rsid w:val="001F3B3B"/>
    <w:rsid w:val="001F4A7A"/>
    <w:rsid w:val="001F60C3"/>
    <w:rsid w:val="001F70A6"/>
    <w:rsid w:val="001F736C"/>
    <w:rsid w:val="002017A6"/>
    <w:rsid w:val="00202FEC"/>
    <w:rsid w:val="00203EA9"/>
    <w:rsid w:val="00205844"/>
    <w:rsid w:val="00206758"/>
    <w:rsid w:val="00211D1C"/>
    <w:rsid w:val="00214F0F"/>
    <w:rsid w:val="00215289"/>
    <w:rsid w:val="00217D27"/>
    <w:rsid w:val="002200EE"/>
    <w:rsid w:val="00220684"/>
    <w:rsid w:val="00221CE3"/>
    <w:rsid w:val="00223C43"/>
    <w:rsid w:val="002255C5"/>
    <w:rsid w:val="0022742A"/>
    <w:rsid w:val="0022784E"/>
    <w:rsid w:val="002318D5"/>
    <w:rsid w:val="00233203"/>
    <w:rsid w:val="002357BA"/>
    <w:rsid w:val="00235C53"/>
    <w:rsid w:val="0023736F"/>
    <w:rsid w:val="00240094"/>
    <w:rsid w:val="002427E0"/>
    <w:rsid w:val="00242FF6"/>
    <w:rsid w:val="00244F48"/>
    <w:rsid w:val="00247271"/>
    <w:rsid w:val="002514B1"/>
    <w:rsid w:val="002528F6"/>
    <w:rsid w:val="0025357F"/>
    <w:rsid w:val="00254B7A"/>
    <w:rsid w:val="00255360"/>
    <w:rsid w:val="0025643F"/>
    <w:rsid w:val="00256B92"/>
    <w:rsid w:val="0026019E"/>
    <w:rsid w:val="00262626"/>
    <w:rsid w:val="00263261"/>
    <w:rsid w:val="00265530"/>
    <w:rsid w:val="0026577F"/>
    <w:rsid w:val="00265C19"/>
    <w:rsid w:val="00265DCA"/>
    <w:rsid w:val="0026693F"/>
    <w:rsid w:val="002701B3"/>
    <w:rsid w:val="0027138A"/>
    <w:rsid w:val="00275451"/>
    <w:rsid w:val="002755E0"/>
    <w:rsid w:val="00277F44"/>
    <w:rsid w:val="002821DD"/>
    <w:rsid w:val="00284CF2"/>
    <w:rsid w:val="00286BEC"/>
    <w:rsid w:val="002879F9"/>
    <w:rsid w:val="002901F0"/>
    <w:rsid w:val="002906E6"/>
    <w:rsid w:val="00295178"/>
    <w:rsid w:val="00295F53"/>
    <w:rsid w:val="002A6FDA"/>
    <w:rsid w:val="002B012C"/>
    <w:rsid w:val="002B25EF"/>
    <w:rsid w:val="002B5B23"/>
    <w:rsid w:val="002C2766"/>
    <w:rsid w:val="002C3B00"/>
    <w:rsid w:val="002C635E"/>
    <w:rsid w:val="002C746B"/>
    <w:rsid w:val="002D282B"/>
    <w:rsid w:val="002D283C"/>
    <w:rsid w:val="002D357F"/>
    <w:rsid w:val="002D79DF"/>
    <w:rsid w:val="002E0691"/>
    <w:rsid w:val="002E0D12"/>
    <w:rsid w:val="002E1112"/>
    <w:rsid w:val="002E1241"/>
    <w:rsid w:val="002E2202"/>
    <w:rsid w:val="002E2AD2"/>
    <w:rsid w:val="002E3483"/>
    <w:rsid w:val="002E4337"/>
    <w:rsid w:val="002E4785"/>
    <w:rsid w:val="002E5F24"/>
    <w:rsid w:val="002E6F08"/>
    <w:rsid w:val="002E752E"/>
    <w:rsid w:val="002F07A2"/>
    <w:rsid w:val="002F26AC"/>
    <w:rsid w:val="002F5474"/>
    <w:rsid w:val="002F64D9"/>
    <w:rsid w:val="00300ABC"/>
    <w:rsid w:val="00300ECB"/>
    <w:rsid w:val="0030293E"/>
    <w:rsid w:val="00305DF6"/>
    <w:rsid w:val="00310614"/>
    <w:rsid w:val="0031298D"/>
    <w:rsid w:val="00313167"/>
    <w:rsid w:val="00315253"/>
    <w:rsid w:val="00315482"/>
    <w:rsid w:val="00315E88"/>
    <w:rsid w:val="00316CFE"/>
    <w:rsid w:val="00320453"/>
    <w:rsid w:val="00321000"/>
    <w:rsid w:val="00323B43"/>
    <w:rsid w:val="003249C6"/>
    <w:rsid w:val="00325305"/>
    <w:rsid w:val="00326585"/>
    <w:rsid w:val="003274B3"/>
    <w:rsid w:val="00330978"/>
    <w:rsid w:val="003312E0"/>
    <w:rsid w:val="0033228E"/>
    <w:rsid w:val="00332386"/>
    <w:rsid w:val="0033326B"/>
    <w:rsid w:val="00334154"/>
    <w:rsid w:val="0033420D"/>
    <w:rsid w:val="00334BE3"/>
    <w:rsid w:val="003357D3"/>
    <w:rsid w:val="00336958"/>
    <w:rsid w:val="00341FC6"/>
    <w:rsid w:val="00342242"/>
    <w:rsid w:val="00343FE5"/>
    <w:rsid w:val="00345784"/>
    <w:rsid w:val="00345D01"/>
    <w:rsid w:val="00345E61"/>
    <w:rsid w:val="00345FC7"/>
    <w:rsid w:val="00347B4E"/>
    <w:rsid w:val="00352127"/>
    <w:rsid w:val="0035458C"/>
    <w:rsid w:val="003552A9"/>
    <w:rsid w:val="00357B08"/>
    <w:rsid w:val="00357CB9"/>
    <w:rsid w:val="00357F44"/>
    <w:rsid w:val="00363051"/>
    <w:rsid w:val="003646A2"/>
    <w:rsid w:val="00364A56"/>
    <w:rsid w:val="00367832"/>
    <w:rsid w:val="00367A00"/>
    <w:rsid w:val="003709E4"/>
    <w:rsid w:val="00373F65"/>
    <w:rsid w:val="00376062"/>
    <w:rsid w:val="00376882"/>
    <w:rsid w:val="00382955"/>
    <w:rsid w:val="00386459"/>
    <w:rsid w:val="003878EE"/>
    <w:rsid w:val="00393695"/>
    <w:rsid w:val="003A1C3E"/>
    <w:rsid w:val="003A22FD"/>
    <w:rsid w:val="003A3084"/>
    <w:rsid w:val="003A5187"/>
    <w:rsid w:val="003A59E5"/>
    <w:rsid w:val="003A755A"/>
    <w:rsid w:val="003A7FC8"/>
    <w:rsid w:val="003B5C8C"/>
    <w:rsid w:val="003C1372"/>
    <w:rsid w:val="003C1853"/>
    <w:rsid w:val="003C1E7E"/>
    <w:rsid w:val="003D02E6"/>
    <w:rsid w:val="003D1872"/>
    <w:rsid w:val="003D1A5B"/>
    <w:rsid w:val="003D37D8"/>
    <w:rsid w:val="003D4C2C"/>
    <w:rsid w:val="003D53EC"/>
    <w:rsid w:val="003D618C"/>
    <w:rsid w:val="003D7EA2"/>
    <w:rsid w:val="003E00FD"/>
    <w:rsid w:val="003E46E6"/>
    <w:rsid w:val="003E5436"/>
    <w:rsid w:val="003E585D"/>
    <w:rsid w:val="003E6848"/>
    <w:rsid w:val="003E74F4"/>
    <w:rsid w:val="003F0073"/>
    <w:rsid w:val="003F03DC"/>
    <w:rsid w:val="003F07EA"/>
    <w:rsid w:val="003F099E"/>
    <w:rsid w:val="003F3316"/>
    <w:rsid w:val="003F3B08"/>
    <w:rsid w:val="003F3B79"/>
    <w:rsid w:val="003F40A5"/>
    <w:rsid w:val="003F462E"/>
    <w:rsid w:val="003F58AA"/>
    <w:rsid w:val="003F5B8F"/>
    <w:rsid w:val="003F7666"/>
    <w:rsid w:val="004029C9"/>
    <w:rsid w:val="0040446C"/>
    <w:rsid w:val="004050EC"/>
    <w:rsid w:val="00405A1C"/>
    <w:rsid w:val="00406448"/>
    <w:rsid w:val="004117EB"/>
    <w:rsid w:val="00411C4B"/>
    <w:rsid w:val="00411F95"/>
    <w:rsid w:val="00412885"/>
    <w:rsid w:val="0041436B"/>
    <w:rsid w:val="004152A7"/>
    <w:rsid w:val="004166EC"/>
    <w:rsid w:val="00420BAD"/>
    <w:rsid w:val="004226A2"/>
    <w:rsid w:val="0042448F"/>
    <w:rsid w:val="00427A70"/>
    <w:rsid w:val="00430C20"/>
    <w:rsid w:val="00433118"/>
    <w:rsid w:val="004334FE"/>
    <w:rsid w:val="004345AC"/>
    <w:rsid w:val="004358AB"/>
    <w:rsid w:val="00435E75"/>
    <w:rsid w:val="004412BF"/>
    <w:rsid w:val="00444FDE"/>
    <w:rsid w:val="004473F4"/>
    <w:rsid w:val="00447C65"/>
    <w:rsid w:val="00450927"/>
    <w:rsid w:val="00453693"/>
    <w:rsid w:val="00455E3E"/>
    <w:rsid w:val="00461218"/>
    <w:rsid w:val="004631BD"/>
    <w:rsid w:val="00463693"/>
    <w:rsid w:val="00463806"/>
    <w:rsid w:val="00473DC6"/>
    <w:rsid w:val="0047435C"/>
    <w:rsid w:val="004753F4"/>
    <w:rsid w:val="004768EA"/>
    <w:rsid w:val="0048097D"/>
    <w:rsid w:val="00480DFA"/>
    <w:rsid w:val="00481B53"/>
    <w:rsid w:val="00482127"/>
    <w:rsid w:val="00484203"/>
    <w:rsid w:val="00486AC4"/>
    <w:rsid w:val="00491C98"/>
    <w:rsid w:val="00492AA8"/>
    <w:rsid w:val="004941D8"/>
    <w:rsid w:val="0049428B"/>
    <w:rsid w:val="00497F9F"/>
    <w:rsid w:val="004A3EB9"/>
    <w:rsid w:val="004A54C7"/>
    <w:rsid w:val="004A5AF5"/>
    <w:rsid w:val="004A5CB2"/>
    <w:rsid w:val="004A6499"/>
    <w:rsid w:val="004B0906"/>
    <w:rsid w:val="004B3563"/>
    <w:rsid w:val="004B3E71"/>
    <w:rsid w:val="004B41AC"/>
    <w:rsid w:val="004B47CC"/>
    <w:rsid w:val="004B4D93"/>
    <w:rsid w:val="004B57C6"/>
    <w:rsid w:val="004B6255"/>
    <w:rsid w:val="004B765D"/>
    <w:rsid w:val="004C4989"/>
    <w:rsid w:val="004C75A9"/>
    <w:rsid w:val="004D111F"/>
    <w:rsid w:val="004D33F0"/>
    <w:rsid w:val="004D46A1"/>
    <w:rsid w:val="004D4A17"/>
    <w:rsid w:val="004D6739"/>
    <w:rsid w:val="004D7582"/>
    <w:rsid w:val="004D7BBE"/>
    <w:rsid w:val="004E2F0F"/>
    <w:rsid w:val="004E311B"/>
    <w:rsid w:val="004E3A07"/>
    <w:rsid w:val="004E4A9D"/>
    <w:rsid w:val="004E62AB"/>
    <w:rsid w:val="004E689B"/>
    <w:rsid w:val="004E7D60"/>
    <w:rsid w:val="004F0563"/>
    <w:rsid w:val="004F3471"/>
    <w:rsid w:val="004F4337"/>
    <w:rsid w:val="004F4EF7"/>
    <w:rsid w:val="004F5D18"/>
    <w:rsid w:val="004F61B3"/>
    <w:rsid w:val="004F6F92"/>
    <w:rsid w:val="00501589"/>
    <w:rsid w:val="00501ED3"/>
    <w:rsid w:val="005027F2"/>
    <w:rsid w:val="00506103"/>
    <w:rsid w:val="00507207"/>
    <w:rsid w:val="005073A8"/>
    <w:rsid w:val="00511018"/>
    <w:rsid w:val="00512381"/>
    <w:rsid w:val="0051272A"/>
    <w:rsid w:val="005138C2"/>
    <w:rsid w:val="00513B0D"/>
    <w:rsid w:val="0051585C"/>
    <w:rsid w:val="00515DF0"/>
    <w:rsid w:val="00516366"/>
    <w:rsid w:val="0051735F"/>
    <w:rsid w:val="00520CBA"/>
    <w:rsid w:val="005217C5"/>
    <w:rsid w:val="0052385D"/>
    <w:rsid w:val="00524820"/>
    <w:rsid w:val="00526A27"/>
    <w:rsid w:val="00530B98"/>
    <w:rsid w:val="00530D41"/>
    <w:rsid w:val="00534088"/>
    <w:rsid w:val="00534C7D"/>
    <w:rsid w:val="00534CDC"/>
    <w:rsid w:val="00536A6E"/>
    <w:rsid w:val="00541F44"/>
    <w:rsid w:val="005426A3"/>
    <w:rsid w:val="0054712B"/>
    <w:rsid w:val="005512E4"/>
    <w:rsid w:val="00551D21"/>
    <w:rsid w:val="0055694D"/>
    <w:rsid w:val="00557151"/>
    <w:rsid w:val="0056157B"/>
    <w:rsid w:val="0056248E"/>
    <w:rsid w:val="005629DF"/>
    <w:rsid w:val="005649C6"/>
    <w:rsid w:val="005768C7"/>
    <w:rsid w:val="00577520"/>
    <w:rsid w:val="005779BD"/>
    <w:rsid w:val="0058034D"/>
    <w:rsid w:val="00581430"/>
    <w:rsid w:val="005849C1"/>
    <w:rsid w:val="00585175"/>
    <w:rsid w:val="005860B4"/>
    <w:rsid w:val="005878B7"/>
    <w:rsid w:val="0059085B"/>
    <w:rsid w:val="005915FC"/>
    <w:rsid w:val="0059522C"/>
    <w:rsid w:val="005A28BC"/>
    <w:rsid w:val="005A2B1E"/>
    <w:rsid w:val="005B00C4"/>
    <w:rsid w:val="005B0616"/>
    <w:rsid w:val="005B406F"/>
    <w:rsid w:val="005B54C2"/>
    <w:rsid w:val="005B5F00"/>
    <w:rsid w:val="005B66B9"/>
    <w:rsid w:val="005B7586"/>
    <w:rsid w:val="005C0810"/>
    <w:rsid w:val="005C372E"/>
    <w:rsid w:val="005C4982"/>
    <w:rsid w:val="005C56C5"/>
    <w:rsid w:val="005C5FB0"/>
    <w:rsid w:val="005C6AE6"/>
    <w:rsid w:val="005D0F1C"/>
    <w:rsid w:val="005D1ADF"/>
    <w:rsid w:val="005D1BE3"/>
    <w:rsid w:val="005D2A0D"/>
    <w:rsid w:val="005D2EE9"/>
    <w:rsid w:val="005D5ABC"/>
    <w:rsid w:val="005D5D8A"/>
    <w:rsid w:val="005D6382"/>
    <w:rsid w:val="005D6DA2"/>
    <w:rsid w:val="005D71AD"/>
    <w:rsid w:val="005D76C8"/>
    <w:rsid w:val="005E61F5"/>
    <w:rsid w:val="005E76BB"/>
    <w:rsid w:val="005F1212"/>
    <w:rsid w:val="005F1741"/>
    <w:rsid w:val="005F1A70"/>
    <w:rsid w:val="005F45E8"/>
    <w:rsid w:val="005F55F5"/>
    <w:rsid w:val="005F5C96"/>
    <w:rsid w:val="00602EE6"/>
    <w:rsid w:val="0060359D"/>
    <w:rsid w:val="00603FE8"/>
    <w:rsid w:val="00604D54"/>
    <w:rsid w:val="00604FB7"/>
    <w:rsid w:val="00606600"/>
    <w:rsid w:val="0060721E"/>
    <w:rsid w:val="00607465"/>
    <w:rsid w:val="006100AB"/>
    <w:rsid w:val="00612CA2"/>
    <w:rsid w:val="0061326D"/>
    <w:rsid w:val="0061404C"/>
    <w:rsid w:val="006140F3"/>
    <w:rsid w:val="006164FE"/>
    <w:rsid w:val="006176A1"/>
    <w:rsid w:val="00620566"/>
    <w:rsid w:val="006233F1"/>
    <w:rsid w:val="00623E8E"/>
    <w:rsid w:val="00624C79"/>
    <w:rsid w:val="0062679F"/>
    <w:rsid w:val="006307CF"/>
    <w:rsid w:val="0063328E"/>
    <w:rsid w:val="00633797"/>
    <w:rsid w:val="0063418C"/>
    <w:rsid w:val="0063440D"/>
    <w:rsid w:val="00637C01"/>
    <w:rsid w:val="00637F58"/>
    <w:rsid w:val="00640379"/>
    <w:rsid w:val="00640735"/>
    <w:rsid w:val="0064169E"/>
    <w:rsid w:val="006424E9"/>
    <w:rsid w:val="00643C76"/>
    <w:rsid w:val="00644EB7"/>
    <w:rsid w:val="00650E2C"/>
    <w:rsid w:val="00653B66"/>
    <w:rsid w:val="00655C46"/>
    <w:rsid w:val="00657385"/>
    <w:rsid w:val="00662B33"/>
    <w:rsid w:val="00662D4F"/>
    <w:rsid w:val="00664B33"/>
    <w:rsid w:val="0066579E"/>
    <w:rsid w:val="006711AC"/>
    <w:rsid w:val="00671C83"/>
    <w:rsid w:val="006722E6"/>
    <w:rsid w:val="006725F4"/>
    <w:rsid w:val="00673786"/>
    <w:rsid w:val="00673CBA"/>
    <w:rsid w:val="00674991"/>
    <w:rsid w:val="00674B01"/>
    <w:rsid w:val="006772E7"/>
    <w:rsid w:val="006834E5"/>
    <w:rsid w:val="00695B95"/>
    <w:rsid w:val="00697275"/>
    <w:rsid w:val="006A02A8"/>
    <w:rsid w:val="006A0AE3"/>
    <w:rsid w:val="006A251D"/>
    <w:rsid w:val="006A2CBF"/>
    <w:rsid w:val="006A4F3F"/>
    <w:rsid w:val="006A512E"/>
    <w:rsid w:val="006B04BA"/>
    <w:rsid w:val="006B08A9"/>
    <w:rsid w:val="006C4717"/>
    <w:rsid w:val="006D238D"/>
    <w:rsid w:val="006D5A92"/>
    <w:rsid w:val="006E06BC"/>
    <w:rsid w:val="006E2099"/>
    <w:rsid w:val="006E65CF"/>
    <w:rsid w:val="006E7B22"/>
    <w:rsid w:val="006F1CA6"/>
    <w:rsid w:val="006F25AE"/>
    <w:rsid w:val="006F25E8"/>
    <w:rsid w:val="006F2A18"/>
    <w:rsid w:val="007029A2"/>
    <w:rsid w:val="007035A8"/>
    <w:rsid w:val="007049BC"/>
    <w:rsid w:val="007063CA"/>
    <w:rsid w:val="0070785B"/>
    <w:rsid w:val="00707919"/>
    <w:rsid w:val="00707994"/>
    <w:rsid w:val="00710254"/>
    <w:rsid w:val="00712DB7"/>
    <w:rsid w:val="007131AE"/>
    <w:rsid w:val="00715C6A"/>
    <w:rsid w:val="0071738A"/>
    <w:rsid w:val="0072098F"/>
    <w:rsid w:val="00723421"/>
    <w:rsid w:val="007272EE"/>
    <w:rsid w:val="007306E1"/>
    <w:rsid w:val="00736FA4"/>
    <w:rsid w:val="007373C6"/>
    <w:rsid w:val="0074130F"/>
    <w:rsid w:val="007415BB"/>
    <w:rsid w:val="007432BD"/>
    <w:rsid w:val="00750EFE"/>
    <w:rsid w:val="007525EC"/>
    <w:rsid w:val="007536F5"/>
    <w:rsid w:val="0075387F"/>
    <w:rsid w:val="007541EA"/>
    <w:rsid w:val="00754582"/>
    <w:rsid w:val="00754771"/>
    <w:rsid w:val="007572A2"/>
    <w:rsid w:val="007573E9"/>
    <w:rsid w:val="00757F9D"/>
    <w:rsid w:val="007601AE"/>
    <w:rsid w:val="007679F6"/>
    <w:rsid w:val="00767EB6"/>
    <w:rsid w:val="00770269"/>
    <w:rsid w:val="00773E96"/>
    <w:rsid w:val="00774023"/>
    <w:rsid w:val="00775AB6"/>
    <w:rsid w:val="00781BBB"/>
    <w:rsid w:val="00784475"/>
    <w:rsid w:val="00785D70"/>
    <w:rsid w:val="00790166"/>
    <w:rsid w:val="0079069D"/>
    <w:rsid w:val="00791350"/>
    <w:rsid w:val="00793779"/>
    <w:rsid w:val="00793C7D"/>
    <w:rsid w:val="0079427F"/>
    <w:rsid w:val="007954B1"/>
    <w:rsid w:val="00795D63"/>
    <w:rsid w:val="00797A28"/>
    <w:rsid w:val="007A5C2A"/>
    <w:rsid w:val="007A603C"/>
    <w:rsid w:val="007A70E9"/>
    <w:rsid w:val="007B17D3"/>
    <w:rsid w:val="007B4565"/>
    <w:rsid w:val="007C010A"/>
    <w:rsid w:val="007C1504"/>
    <w:rsid w:val="007C1CCA"/>
    <w:rsid w:val="007C1DD1"/>
    <w:rsid w:val="007C2805"/>
    <w:rsid w:val="007C30E8"/>
    <w:rsid w:val="007C4EA3"/>
    <w:rsid w:val="007C5031"/>
    <w:rsid w:val="007D0E0D"/>
    <w:rsid w:val="007D13F5"/>
    <w:rsid w:val="007D2682"/>
    <w:rsid w:val="007D348F"/>
    <w:rsid w:val="007D3661"/>
    <w:rsid w:val="007D49B4"/>
    <w:rsid w:val="007D5186"/>
    <w:rsid w:val="007D6924"/>
    <w:rsid w:val="007E2708"/>
    <w:rsid w:val="007E2B60"/>
    <w:rsid w:val="007E371E"/>
    <w:rsid w:val="007E3E80"/>
    <w:rsid w:val="007E3EDE"/>
    <w:rsid w:val="007E4857"/>
    <w:rsid w:val="007E6EE3"/>
    <w:rsid w:val="007E797D"/>
    <w:rsid w:val="007E7F01"/>
    <w:rsid w:val="007F2B15"/>
    <w:rsid w:val="007F604E"/>
    <w:rsid w:val="007F6E18"/>
    <w:rsid w:val="007F71B2"/>
    <w:rsid w:val="00801C40"/>
    <w:rsid w:val="00803908"/>
    <w:rsid w:val="00804F67"/>
    <w:rsid w:val="00806C5D"/>
    <w:rsid w:val="00811731"/>
    <w:rsid w:val="00811917"/>
    <w:rsid w:val="0081348B"/>
    <w:rsid w:val="008144F1"/>
    <w:rsid w:val="00815F2F"/>
    <w:rsid w:val="008172CD"/>
    <w:rsid w:val="00821B43"/>
    <w:rsid w:val="0082330E"/>
    <w:rsid w:val="008234FB"/>
    <w:rsid w:val="0082695C"/>
    <w:rsid w:val="00826F8E"/>
    <w:rsid w:val="008300A3"/>
    <w:rsid w:val="008302CA"/>
    <w:rsid w:val="008322C7"/>
    <w:rsid w:val="00833BE1"/>
    <w:rsid w:val="0084456F"/>
    <w:rsid w:val="00844C3F"/>
    <w:rsid w:val="00850044"/>
    <w:rsid w:val="008501AB"/>
    <w:rsid w:val="00850CE5"/>
    <w:rsid w:val="00854FB6"/>
    <w:rsid w:val="00857434"/>
    <w:rsid w:val="0085767E"/>
    <w:rsid w:val="00860C44"/>
    <w:rsid w:val="00861265"/>
    <w:rsid w:val="0087135D"/>
    <w:rsid w:val="0087661B"/>
    <w:rsid w:val="00876EAD"/>
    <w:rsid w:val="00881427"/>
    <w:rsid w:val="0088192C"/>
    <w:rsid w:val="00881A10"/>
    <w:rsid w:val="0088249F"/>
    <w:rsid w:val="008830C2"/>
    <w:rsid w:val="00883D72"/>
    <w:rsid w:val="008840C8"/>
    <w:rsid w:val="00884B0E"/>
    <w:rsid w:val="00885E89"/>
    <w:rsid w:val="008875F4"/>
    <w:rsid w:val="00890532"/>
    <w:rsid w:val="00894754"/>
    <w:rsid w:val="008A2362"/>
    <w:rsid w:val="008A45B8"/>
    <w:rsid w:val="008A4C2E"/>
    <w:rsid w:val="008A604B"/>
    <w:rsid w:val="008A64D1"/>
    <w:rsid w:val="008A71F3"/>
    <w:rsid w:val="008B00DF"/>
    <w:rsid w:val="008B0196"/>
    <w:rsid w:val="008B07F0"/>
    <w:rsid w:val="008B0802"/>
    <w:rsid w:val="008B1223"/>
    <w:rsid w:val="008B3290"/>
    <w:rsid w:val="008B7726"/>
    <w:rsid w:val="008B7F47"/>
    <w:rsid w:val="008C1134"/>
    <w:rsid w:val="008C1D60"/>
    <w:rsid w:val="008C66B2"/>
    <w:rsid w:val="008C67F2"/>
    <w:rsid w:val="008C788A"/>
    <w:rsid w:val="008C7FF6"/>
    <w:rsid w:val="008D16F1"/>
    <w:rsid w:val="008D1EBA"/>
    <w:rsid w:val="008D28AA"/>
    <w:rsid w:val="008D44F0"/>
    <w:rsid w:val="008D5AAC"/>
    <w:rsid w:val="008D6F86"/>
    <w:rsid w:val="008D734D"/>
    <w:rsid w:val="008D7888"/>
    <w:rsid w:val="008E05A4"/>
    <w:rsid w:val="008E1621"/>
    <w:rsid w:val="008E20FC"/>
    <w:rsid w:val="008E2E3D"/>
    <w:rsid w:val="008E631B"/>
    <w:rsid w:val="008F22B4"/>
    <w:rsid w:val="008F32B6"/>
    <w:rsid w:val="008F34A1"/>
    <w:rsid w:val="008F71FC"/>
    <w:rsid w:val="0090150F"/>
    <w:rsid w:val="00903E88"/>
    <w:rsid w:val="0090415E"/>
    <w:rsid w:val="00904286"/>
    <w:rsid w:val="00904CF3"/>
    <w:rsid w:val="00904FB2"/>
    <w:rsid w:val="00911254"/>
    <w:rsid w:val="009127B3"/>
    <w:rsid w:val="00912D6B"/>
    <w:rsid w:val="009138C6"/>
    <w:rsid w:val="00914D69"/>
    <w:rsid w:val="009178EB"/>
    <w:rsid w:val="00923052"/>
    <w:rsid w:val="009245FC"/>
    <w:rsid w:val="009272F4"/>
    <w:rsid w:val="00930AC2"/>
    <w:rsid w:val="0093141A"/>
    <w:rsid w:val="00931A62"/>
    <w:rsid w:val="009328D4"/>
    <w:rsid w:val="00933142"/>
    <w:rsid w:val="00933F58"/>
    <w:rsid w:val="0093416D"/>
    <w:rsid w:val="0093473C"/>
    <w:rsid w:val="00937D98"/>
    <w:rsid w:val="00940995"/>
    <w:rsid w:val="00946681"/>
    <w:rsid w:val="00951C69"/>
    <w:rsid w:val="0095594E"/>
    <w:rsid w:val="00961F7A"/>
    <w:rsid w:val="009657BE"/>
    <w:rsid w:val="0096609E"/>
    <w:rsid w:val="009673C5"/>
    <w:rsid w:val="00970E6B"/>
    <w:rsid w:val="0097190B"/>
    <w:rsid w:val="00971A54"/>
    <w:rsid w:val="00971E8E"/>
    <w:rsid w:val="00972868"/>
    <w:rsid w:val="0097311E"/>
    <w:rsid w:val="00973325"/>
    <w:rsid w:val="00973510"/>
    <w:rsid w:val="0097381A"/>
    <w:rsid w:val="009743ED"/>
    <w:rsid w:val="009750D1"/>
    <w:rsid w:val="009761AB"/>
    <w:rsid w:val="00976250"/>
    <w:rsid w:val="00977F61"/>
    <w:rsid w:val="00980BDF"/>
    <w:rsid w:val="00980C79"/>
    <w:rsid w:val="00982803"/>
    <w:rsid w:val="00983AA6"/>
    <w:rsid w:val="00986023"/>
    <w:rsid w:val="009862D4"/>
    <w:rsid w:val="009863DE"/>
    <w:rsid w:val="00990E26"/>
    <w:rsid w:val="00990F9E"/>
    <w:rsid w:val="00993B6D"/>
    <w:rsid w:val="00993D60"/>
    <w:rsid w:val="00996A79"/>
    <w:rsid w:val="009971E7"/>
    <w:rsid w:val="009A0342"/>
    <w:rsid w:val="009A0B5F"/>
    <w:rsid w:val="009A2C7F"/>
    <w:rsid w:val="009A4AF7"/>
    <w:rsid w:val="009A60CE"/>
    <w:rsid w:val="009B001F"/>
    <w:rsid w:val="009B0501"/>
    <w:rsid w:val="009B31E3"/>
    <w:rsid w:val="009B3C65"/>
    <w:rsid w:val="009B451A"/>
    <w:rsid w:val="009B4951"/>
    <w:rsid w:val="009B4EE2"/>
    <w:rsid w:val="009B5952"/>
    <w:rsid w:val="009B5E29"/>
    <w:rsid w:val="009B6672"/>
    <w:rsid w:val="009B7566"/>
    <w:rsid w:val="009B78FF"/>
    <w:rsid w:val="009B7E28"/>
    <w:rsid w:val="009C0476"/>
    <w:rsid w:val="009C1907"/>
    <w:rsid w:val="009C3498"/>
    <w:rsid w:val="009C5728"/>
    <w:rsid w:val="009C7C17"/>
    <w:rsid w:val="009D27CC"/>
    <w:rsid w:val="009D27FD"/>
    <w:rsid w:val="009D324D"/>
    <w:rsid w:val="009D67D9"/>
    <w:rsid w:val="009D6B89"/>
    <w:rsid w:val="009D7CE1"/>
    <w:rsid w:val="009E0793"/>
    <w:rsid w:val="009E22B9"/>
    <w:rsid w:val="009E6ED3"/>
    <w:rsid w:val="009F2024"/>
    <w:rsid w:val="009F35F5"/>
    <w:rsid w:val="009F5695"/>
    <w:rsid w:val="009F6779"/>
    <w:rsid w:val="009F6F9B"/>
    <w:rsid w:val="009F708F"/>
    <w:rsid w:val="009F7DCD"/>
    <w:rsid w:val="00A021EB"/>
    <w:rsid w:val="00A0469C"/>
    <w:rsid w:val="00A06D2C"/>
    <w:rsid w:val="00A1090C"/>
    <w:rsid w:val="00A12437"/>
    <w:rsid w:val="00A164DC"/>
    <w:rsid w:val="00A1716C"/>
    <w:rsid w:val="00A207C9"/>
    <w:rsid w:val="00A21847"/>
    <w:rsid w:val="00A21E14"/>
    <w:rsid w:val="00A3059C"/>
    <w:rsid w:val="00A31CE7"/>
    <w:rsid w:val="00A31D0B"/>
    <w:rsid w:val="00A3583E"/>
    <w:rsid w:val="00A35EE9"/>
    <w:rsid w:val="00A36F12"/>
    <w:rsid w:val="00A41264"/>
    <w:rsid w:val="00A418BC"/>
    <w:rsid w:val="00A4443B"/>
    <w:rsid w:val="00A446C3"/>
    <w:rsid w:val="00A51830"/>
    <w:rsid w:val="00A52EBE"/>
    <w:rsid w:val="00A53542"/>
    <w:rsid w:val="00A54AB9"/>
    <w:rsid w:val="00A55CA9"/>
    <w:rsid w:val="00A55DE1"/>
    <w:rsid w:val="00A579D0"/>
    <w:rsid w:val="00A614F2"/>
    <w:rsid w:val="00A61964"/>
    <w:rsid w:val="00A61F47"/>
    <w:rsid w:val="00A620AF"/>
    <w:rsid w:val="00A637E9"/>
    <w:rsid w:val="00A645FC"/>
    <w:rsid w:val="00A65756"/>
    <w:rsid w:val="00A71D74"/>
    <w:rsid w:val="00A722BB"/>
    <w:rsid w:val="00A7298D"/>
    <w:rsid w:val="00A7481A"/>
    <w:rsid w:val="00A75814"/>
    <w:rsid w:val="00A75F49"/>
    <w:rsid w:val="00A764EA"/>
    <w:rsid w:val="00A801C7"/>
    <w:rsid w:val="00A807A4"/>
    <w:rsid w:val="00A83BC4"/>
    <w:rsid w:val="00A87029"/>
    <w:rsid w:val="00A90BB2"/>
    <w:rsid w:val="00A91016"/>
    <w:rsid w:val="00A9133D"/>
    <w:rsid w:val="00A92307"/>
    <w:rsid w:val="00A92742"/>
    <w:rsid w:val="00A92949"/>
    <w:rsid w:val="00AA15B4"/>
    <w:rsid w:val="00AA1C4F"/>
    <w:rsid w:val="00AA20D8"/>
    <w:rsid w:val="00AA3EAE"/>
    <w:rsid w:val="00AA4AC7"/>
    <w:rsid w:val="00AA50C3"/>
    <w:rsid w:val="00AA7DEB"/>
    <w:rsid w:val="00AB1284"/>
    <w:rsid w:val="00AB2D0F"/>
    <w:rsid w:val="00AB5E31"/>
    <w:rsid w:val="00AB7B1C"/>
    <w:rsid w:val="00AC2127"/>
    <w:rsid w:val="00AC54F3"/>
    <w:rsid w:val="00AC5690"/>
    <w:rsid w:val="00AC614A"/>
    <w:rsid w:val="00AC639D"/>
    <w:rsid w:val="00AC6A82"/>
    <w:rsid w:val="00AD0A55"/>
    <w:rsid w:val="00AD0DFB"/>
    <w:rsid w:val="00AD38A9"/>
    <w:rsid w:val="00AD38D1"/>
    <w:rsid w:val="00AD4E49"/>
    <w:rsid w:val="00AD5193"/>
    <w:rsid w:val="00AD7ABE"/>
    <w:rsid w:val="00AE3957"/>
    <w:rsid w:val="00AE3F64"/>
    <w:rsid w:val="00AE4E08"/>
    <w:rsid w:val="00AE6CCD"/>
    <w:rsid w:val="00AF7419"/>
    <w:rsid w:val="00B01FB3"/>
    <w:rsid w:val="00B032AF"/>
    <w:rsid w:val="00B037F0"/>
    <w:rsid w:val="00B0388A"/>
    <w:rsid w:val="00B03A7E"/>
    <w:rsid w:val="00B03E50"/>
    <w:rsid w:val="00B05C83"/>
    <w:rsid w:val="00B06386"/>
    <w:rsid w:val="00B06697"/>
    <w:rsid w:val="00B067C1"/>
    <w:rsid w:val="00B07BA8"/>
    <w:rsid w:val="00B114EC"/>
    <w:rsid w:val="00B17920"/>
    <w:rsid w:val="00B21D17"/>
    <w:rsid w:val="00B21E4B"/>
    <w:rsid w:val="00B22BB3"/>
    <w:rsid w:val="00B238F6"/>
    <w:rsid w:val="00B2395D"/>
    <w:rsid w:val="00B30EC5"/>
    <w:rsid w:val="00B32F2A"/>
    <w:rsid w:val="00B33089"/>
    <w:rsid w:val="00B337D4"/>
    <w:rsid w:val="00B33ABA"/>
    <w:rsid w:val="00B35757"/>
    <w:rsid w:val="00B35A99"/>
    <w:rsid w:val="00B3600F"/>
    <w:rsid w:val="00B36094"/>
    <w:rsid w:val="00B36A0B"/>
    <w:rsid w:val="00B37125"/>
    <w:rsid w:val="00B40157"/>
    <w:rsid w:val="00B421A2"/>
    <w:rsid w:val="00B435A6"/>
    <w:rsid w:val="00B437A7"/>
    <w:rsid w:val="00B44C41"/>
    <w:rsid w:val="00B44EF2"/>
    <w:rsid w:val="00B45B54"/>
    <w:rsid w:val="00B52877"/>
    <w:rsid w:val="00B53E02"/>
    <w:rsid w:val="00B61A22"/>
    <w:rsid w:val="00B62191"/>
    <w:rsid w:val="00B62E33"/>
    <w:rsid w:val="00B634D3"/>
    <w:rsid w:val="00B64A63"/>
    <w:rsid w:val="00B65A5E"/>
    <w:rsid w:val="00B66738"/>
    <w:rsid w:val="00B70D01"/>
    <w:rsid w:val="00B7176E"/>
    <w:rsid w:val="00B71F91"/>
    <w:rsid w:val="00B746AD"/>
    <w:rsid w:val="00B765C8"/>
    <w:rsid w:val="00B77167"/>
    <w:rsid w:val="00B81BC4"/>
    <w:rsid w:val="00B83005"/>
    <w:rsid w:val="00B83E39"/>
    <w:rsid w:val="00B87714"/>
    <w:rsid w:val="00B87C3E"/>
    <w:rsid w:val="00B9421C"/>
    <w:rsid w:val="00B94DCF"/>
    <w:rsid w:val="00BA038B"/>
    <w:rsid w:val="00BA0B88"/>
    <w:rsid w:val="00BA18EA"/>
    <w:rsid w:val="00BA2513"/>
    <w:rsid w:val="00BA35EC"/>
    <w:rsid w:val="00BA377E"/>
    <w:rsid w:val="00BA50D9"/>
    <w:rsid w:val="00BA5847"/>
    <w:rsid w:val="00BA5C64"/>
    <w:rsid w:val="00BB641E"/>
    <w:rsid w:val="00BB687A"/>
    <w:rsid w:val="00BB7717"/>
    <w:rsid w:val="00BC1ED2"/>
    <w:rsid w:val="00BC4F5A"/>
    <w:rsid w:val="00BC5F01"/>
    <w:rsid w:val="00BC675A"/>
    <w:rsid w:val="00BD068B"/>
    <w:rsid w:val="00BD0BDF"/>
    <w:rsid w:val="00BD1389"/>
    <w:rsid w:val="00BD16CA"/>
    <w:rsid w:val="00BD309C"/>
    <w:rsid w:val="00BE0459"/>
    <w:rsid w:val="00BE1C6E"/>
    <w:rsid w:val="00BE1DFF"/>
    <w:rsid w:val="00BE1FD4"/>
    <w:rsid w:val="00BE3ACF"/>
    <w:rsid w:val="00BE4419"/>
    <w:rsid w:val="00BE5E2F"/>
    <w:rsid w:val="00BE78B4"/>
    <w:rsid w:val="00BF412A"/>
    <w:rsid w:val="00BF7D83"/>
    <w:rsid w:val="00C00719"/>
    <w:rsid w:val="00C026C7"/>
    <w:rsid w:val="00C105D5"/>
    <w:rsid w:val="00C12041"/>
    <w:rsid w:val="00C1253F"/>
    <w:rsid w:val="00C12D73"/>
    <w:rsid w:val="00C139B2"/>
    <w:rsid w:val="00C13DE8"/>
    <w:rsid w:val="00C14800"/>
    <w:rsid w:val="00C14866"/>
    <w:rsid w:val="00C2538D"/>
    <w:rsid w:val="00C2543D"/>
    <w:rsid w:val="00C256AF"/>
    <w:rsid w:val="00C325A2"/>
    <w:rsid w:val="00C33CD5"/>
    <w:rsid w:val="00C3444C"/>
    <w:rsid w:val="00C365EB"/>
    <w:rsid w:val="00C36631"/>
    <w:rsid w:val="00C40B9A"/>
    <w:rsid w:val="00C42E00"/>
    <w:rsid w:val="00C45B1D"/>
    <w:rsid w:val="00C471D3"/>
    <w:rsid w:val="00C509C1"/>
    <w:rsid w:val="00C525F0"/>
    <w:rsid w:val="00C541A2"/>
    <w:rsid w:val="00C551E2"/>
    <w:rsid w:val="00C56D8D"/>
    <w:rsid w:val="00C56F52"/>
    <w:rsid w:val="00C57833"/>
    <w:rsid w:val="00C60508"/>
    <w:rsid w:val="00C61F41"/>
    <w:rsid w:val="00C64993"/>
    <w:rsid w:val="00C64EFA"/>
    <w:rsid w:val="00C653A2"/>
    <w:rsid w:val="00C65E5F"/>
    <w:rsid w:val="00C65EC0"/>
    <w:rsid w:val="00C6603F"/>
    <w:rsid w:val="00C66F83"/>
    <w:rsid w:val="00C708F7"/>
    <w:rsid w:val="00C7214C"/>
    <w:rsid w:val="00C73000"/>
    <w:rsid w:val="00C7420D"/>
    <w:rsid w:val="00C75B4A"/>
    <w:rsid w:val="00C76464"/>
    <w:rsid w:val="00C80E94"/>
    <w:rsid w:val="00C8163F"/>
    <w:rsid w:val="00C82434"/>
    <w:rsid w:val="00C83613"/>
    <w:rsid w:val="00C84B3B"/>
    <w:rsid w:val="00C860CA"/>
    <w:rsid w:val="00C87B02"/>
    <w:rsid w:val="00C90BD2"/>
    <w:rsid w:val="00C915EC"/>
    <w:rsid w:val="00C92186"/>
    <w:rsid w:val="00C93BA5"/>
    <w:rsid w:val="00C94EF2"/>
    <w:rsid w:val="00C9524B"/>
    <w:rsid w:val="00C9578C"/>
    <w:rsid w:val="00C977A9"/>
    <w:rsid w:val="00CA1199"/>
    <w:rsid w:val="00CA32BF"/>
    <w:rsid w:val="00CA3F4B"/>
    <w:rsid w:val="00CA4E08"/>
    <w:rsid w:val="00CB0A52"/>
    <w:rsid w:val="00CB0DE7"/>
    <w:rsid w:val="00CB2258"/>
    <w:rsid w:val="00CB4B5C"/>
    <w:rsid w:val="00CB6425"/>
    <w:rsid w:val="00CB6878"/>
    <w:rsid w:val="00CC09A9"/>
    <w:rsid w:val="00CC28A9"/>
    <w:rsid w:val="00CC4BB5"/>
    <w:rsid w:val="00CC511B"/>
    <w:rsid w:val="00CC58F9"/>
    <w:rsid w:val="00CC5DA6"/>
    <w:rsid w:val="00CC7B06"/>
    <w:rsid w:val="00CD0306"/>
    <w:rsid w:val="00CD061B"/>
    <w:rsid w:val="00CD10BF"/>
    <w:rsid w:val="00CD3564"/>
    <w:rsid w:val="00CD54C0"/>
    <w:rsid w:val="00CD654C"/>
    <w:rsid w:val="00CD76A5"/>
    <w:rsid w:val="00CE094F"/>
    <w:rsid w:val="00CE12F4"/>
    <w:rsid w:val="00CE37F1"/>
    <w:rsid w:val="00CE4629"/>
    <w:rsid w:val="00CE5027"/>
    <w:rsid w:val="00CE7B6E"/>
    <w:rsid w:val="00CF0823"/>
    <w:rsid w:val="00CF0A1F"/>
    <w:rsid w:val="00CF2B0B"/>
    <w:rsid w:val="00CF3885"/>
    <w:rsid w:val="00CF466F"/>
    <w:rsid w:val="00CF4FA1"/>
    <w:rsid w:val="00CF5EDF"/>
    <w:rsid w:val="00D0060F"/>
    <w:rsid w:val="00D00DFD"/>
    <w:rsid w:val="00D01971"/>
    <w:rsid w:val="00D03320"/>
    <w:rsid w:val="00D03B6B"/>
    <w:rsid w:val="00D067E3"/>
    <w:rsid w:val="00D07FDC"/>
    <w:rsid w:val="00D10344"/>
    <w:rsid w:val="00D10DE3"/>
    <w:rsid w:val="00D129B8"/>
    <w:rsid w:val="00D137C3"/>
    <w:rsid w:val="00D13E97"/>
    <w:rsid w:val="00D14D8C"/>
    <w:rsid w:val="00D1503A"/>
    <w:rsid w:val="00D154E2"/>
    <w:rsid w:val="00D15787"/>
    <w:rsid w:val="00D17B20"/>
    <w:rsid w:val="00D206C1"/>
    <w:rsid w:val="00D23801"/>
    <w:rsid w:val="00D27927"/>
    <w:rsid w:val="00D30A38"/>
    <w:rsid w:val="00D32110"/>
    <w:rsid w:val="00D3486E"/>
    <w:rsid w:val="00D35381"/>
    <w:rsid w:val="00D36342"/>
    <w:rsid w:val="00D36A24"/>
    <w:rsid w:val="00D370C9"/>
    <w:rsid w:val="00D378BF"/>
    <w:rsid w:val="00D42449"/>
    <w:rsid w:val="00D46367"/>
    <w:rsid w:val="00D46D63"/>
    <w:rsid w:val="00D47B56"/>
    <w:rsid w:val="00D52752"/>
    <w:rsid w:val="00D532C9"/>
    <w:rsid w:val="00D533DC"/>
    <w:rsid w:val="00D544F8"/>
    <w:rsid w:val="00D549B1"/>
    <w:rsid w:val="00D56633"/>
    <w:rsid w:val="00D571DB"/>
    <w:rsid w:val="00D578E8"/>
    <w:rsid w:val="00D60319"/>
    <w:rsid w:val="00D605FD"/>
    <w:rsid w:val="00D62EEB"/>
    <w:rsid w:val="00D62F9F"/>
    <w:rsid w:val="00D6316E"/>
    <w:rsid w:val="00D63D39"/>
    <w:rsid w:val="00D64856"/>
    <w:rsid w:val="00D661BB"/>
    <w:rsid w:val="00D738D7"/>
    <w:rsid w:val="00D73CE0"/>
    <w:rsid w:val="00D742A6"/>
    <w:rsid w:val="00D74FA6"/>
    <w:rsid w:val="00D76605"/>
    <w:rsid w:val="00D76D07"/>
    <w:rsid w:val="00D80145"/>
    <w:rsid w:val="00D806AE"/>
    <w:rsid w:val="00D80FBA"/>
    <w:rsid w:val="00D84736"/>
    <w:rsid w:val="00D85A2A"/>
    <w:rsid w:val="00D871CA"/>
    <w:rsid w:val="00D87CA6"/>
    <w:rsid w:val="00D91197"/>
    <w:rsid w:val="00D919FF"/>
    <w:rsid w:val="00D94BB0"/>
    <w:rsid w:val="00D97E43"/>
    <w:rsid w:val="00DA0E9A"/>
    <w:rsid w:val="00DA1CE5"/>
    <w:rsid w:val="00DA26DA"/>
    <w:rsid w:val="00DA415B"/>
    <w:rsid w:val="00DA5C95"/>
    <w:rsid w:val="00DA7C14"/>
    <w:rsid w:val="00DB27AA"/>
    <w:rsid w:val="00DB4F8E"/>
    <w:rsid w:val="00DB500F"/>
    <w:rsid w:val="00DB7F8F"/>
    <w:rsid w:val="00DC0819"/>
    <w:rsid w:val="00DC0B15"/>
    <w:rsid w:val="00DC1E69"/>
    <w:rsid w:val="00DC2200"/>
    <w:rsid w:val="00DC44F2"/>
    <w:rsid w:val="00DC5338"/>
    <w:rsid w:val="00DC54BC"/>
    <w:rsid w:val="00DC5C10"/>
    <w:rsid w:val="00DC5FBD"/>
    <w:rsid w:val="00DD3A6A"/>
    <w:rsid w:val="00DD3C10"/>
    <w:rsid w:val="00DD4ADB"/>
    <w:rsid w:val="00DD4F88"/>
    <w:rsid w:val="00DD5200"/>
    <w:rsid w:val="00DD5212"/>
    <w:rsid w:val="00DD5286"/>
    <w:rsid w:val="00DE1423"/>
    <w:rsid w:val="00DE3229"/>
    <w:rsid w:val="00DE3C47"/>
    <w:rsid w:val="00DE56AB"/>
    <w:rsid w:val="00DE6451"/>
    <w:rsid w:val="00DE6FC9"/>
    <w:rsid w:val="00DF2EAE"/>
    <w:rsid w:val="00DF43CF"/>
    <w:rsid w:val="00DF4816"/>
    <w:rsid w:val="00DF7545"/>
    <w:rsid w:val="00DF7D48"/>
    <w:rsid w:val="00E02CFE"/>
    <w:rsid w:val="00E0367E"/>
    <w:rsid w:val="00E06AD2"/>
    <w:rsid w:val="00E12827"/>
    <w:rsid w:val="00E145BC"/>
    <w:rsid w:val="00E15A1E"/>
    <w:rsid w:val="00E2177C"/>
    <w:rsid w:val="00E23CD9"/>
    <w:rsid w:val="00E277E4"/>
    <w:rsid w:val="00E30687"/>
    <w:rsid w:val="00E31D94"/>
    <w:rsid w:val="00E35289"/>
    <w:rsid w:val="00E37194"/>
    <w:rsid w:val="00E40F1D"/>
    <w:rsid w:val="00E427B2"/>
    <w:rsid w:val="00E42C73"/>
    <w:rsid w:val="00E42F4A"/>
    <w:rsid w:val="00E46D3B"/>
    <w:rsid w:val="00E513F0"/>
    <w:rsid w:val="00E53584"/>
    <w:rsid w:val="00E548A9"/>
    <w:rsid w:val="00E55B8C"/>
    <w:rsid w:val="00E56AD3"/>
    <w:rsid w:val="00E621CB"/>
    <w:rsid w:val="00E63C4A"/>
    <w:rsid w:val="00E63DD5"/>
    <w:rsid w:val="00E65174"/>
    <w:rsid w:val="00E66BF3"/>
    <w:rsid w:val="00E67EDF"/>
    <w:rsid w:val="00E7081D"/>
    <w:rsid w:val="00E70E61"/>
    <w:rsid w:val="00E7230E"/>
    <w:rsid w:val="00E73E37"/>
    <w:rsid w:val="00E7685C"/>
    <w:rsid w:val="00E769A8"/>
    <w:rsid w:val="00E7759B"/>
    <w:rsid w:val="00E77730"/>
    <w:rsid w:val="00E80615"/>
    <w:rsid w:val="00E82884"/>
    <w:rsid w:val="00E82D27"/>
    <w:rsid w:val="00E85EBA"/>
    <w:rsid w:val="00E96B54"/>
    <w:rsid w:val="00E96EA4"/>
    <w:rsid w:val="00E97A59"/>
    <w:rsid w:val="00EA1FA7"/>
    <w:rsid w:val="00EA3945"/>
    <w:rsid w:val="00EA4E34"/>
    <w:rsid w:val="00EA62E2"/>
    <w:rsid w:val="00EA7D46"/>
    <w:rsid w:val="00EB1E32"/>
    <w:rsid w:val="00EB28D6"/>
    <w:rsid w:val="00EB4FB9"/>
    <w:rsid w:val="00EC0682"/>
    <w:rsid w:val="00EC0CEC"/>
    <w:rsid w:val="00EC0DC6"/>
    <w:rsid w:val="00EC3438"/>
    <w:rsid w:val="00EC3CC4"/>
    <w:rsid w:val="00EC709A"/>
    <w:rsid w:val="00ED0202"/>
    <w:rsid w:val="00ED3741"/>
    <w:rsid w:val="00ED4C41"/>
    <w:rsid w:val="00ED5EBB"/>
    <w:rsid w:val="00ED66EF"/>
    <w:rsid w:val="00EE0CB9"/>
    <w:rsid w:val="00EE0F2B"/>
    <w:rsid w:val="00EE112D"/>
    <w:rsid w:val="00EE232E"/>
    <w:rsid w:val="00EE2A87"/>
    <w:rsid w:val="00EE4747"/>
    <w:rsid w:val="00EE5AB1"/>
    <w:rsid w:val="00EF14E1"/>
    <w:rsid w:val="00EF2117"/>
    <w:rsid w:val="00EF23FF"/>
    <w:rsid w:val="00EF6924"/>
    <w:rsid w:val="00EF7BDC"/>
    <w:rsid w:val="00F01183"/>
    <w:rsid w:val="00F02CDC"/>
    <w:rsid w:val="00F06C31"/>
    <w:rsid w:val="00F06E11"/>
    <w:rsid w:val="00F112A2"/>
    <w:rsid w:val="00F11596"/>
    <w:rsid w:val="00F11789"/>
    <w:rsid w:val="00F12661"/>
    <w:rsid w:val="00F14CB9"/>
    <w:rsid w:val="00F20966"/>
    <w:rsid w:val="00F23E31"/>
    <w:rsid w:val="00F259AD"/>
    <w:rsid w:val="00F314FC"/>
    <w:rsid w:val="00F329A5"/>
    <w:rsid w:val="00F350B3"/>
    <w:rsid w:val="00F3572D"/>
    <w:rsid w:val="00F36266"/>
    <w:rsid w:val="00F365DF"/>
    <w:rsid w:val="00F36F01"/>
    <w:rsid w:val="00F43AC4"/>
    <w:rsid w:val="00F44CE0"/>
    <w:rsid w:val="00F45936"/>
    <w:rsid w:val="00F463DA"/>
    <w:rsid w:val="00F4755E"/>
    <w:rsid w:val="00F50EE2"/>
    <w:rsid w:val="00F527FE"/>
    <w:rsid w:val="00F532C9"/>
    <w:rsid w:val="00F532E6"/>
    <w:rsid w:val="00F5355D"/>
    <w:rsid w:val="00F56200"/>
    <w:rsid w:val="00F61502"/>
    <w:rsid w:val="00F61DDF"/>
    <w:rsid w:val="00F627F2"/>
    <w:rsid w:val="00F63989"/>
    <w:rsid w:val="00F63B01"/>
    <w:rsid w:val="00F656AC"/>
    <w:rsid w:val="00F704EE"/>
    <w:rsid w:val="00F725AE"/>
    <w:rsid w:val="00F72B3E"/>
    <w:rsid w:val="00F72CE1"/>
    <w:rsid w:val="00F736E4"/>
    <w:rsid w:val="00F753D7"/>
    <w:rsid w:val="00F758CC"/>
    <w:rsid w:val="00F761BC"/>
    <w:rsid w:val="00F77305"/>
    <w:rsid w:val="00F80DDC"/>
    <w:rsid w:val="00F81899"/>
    <w:rsid w:val="00F83226"/>
    <w:rsid w:val="00F83ED7"/>
    <w:rsid w:val="00F84036"/>
    <w:rsid w:val="00F8413E"/>
    <w:rsid w:val="00F8427E"/>
    <w:rsid w:val="00F842BB"/>
    <w:rsid w:val="00F95256"/>
    <w:rsid w:val="00FA087C"/>
    <w:rsid w:val="00FA222D"/>
    <w:rsid w:val="00FA2B37"/>
    <w:rsid w:val="00FA35D0"/>
    <w:rsid w:val="00FA4F47"/>
    <w:rsid w:val="00FA583D"/>
    <w:rsid w:val="00FB0DDD"/>
    <w:rsid w:val="00FB3CA1"/>
    <w:rsid w:val="00FB4839"/>
    <w:rsid w:val="00FB573B"/>
    <w:rsid w:val="00FB5F33"/>
    <w:rsid w:val="00FB713A"/>
    <w:rsid w:val="00FC0C30"/>
    <w:rsid w:val="00FC2B2B"/>
    <w:rsid w:val="00FC53A3"/>
    <w:rsid w:val="00FC698A"/>
    <w:rsid w:val="00FD0986"/>
    <w:rsid w:val="00FD2585"/>
    <w:rsid w:val="00FD473A"/>
    <w:rsid w:val="00FD5BC7"/>
    <w:rsid w:val="00FD5F9D"/>
    <w:rsid w:val="00FE43AE"/>
    <w:rsid w:val="00FE4ABD"/>
    <w:rsid w:val="00FE5CF6"/>
    <w:rsid w:val="00FF005F"/>
    <w:rsid w:val="00FF0989"/>
    <w:rsid w:val="00FF1BC9"/>
    <w:rsid w:val="00FF28ED"/>
    <w:rsid w:val="00FF5B39"/>
    <w:rsid w:val="00FF767A"/>
    <w:rsid w:val="00FF7D42"/>
    <w:rsid w:val="01195642"/>
    <w:rsid w:val="01471AC3"/>
    <w:rsid w:val="01496C74"/>
    <w:rsid w:val="014D19F9"/>
    <w:rsid w:val="014F5B4F"/>
    <w:rsid w:val="01610122"/>
    <w:rsid w:val="017819A2"/>
    <w:rsid w:val="018C2C92"/>
    <w:rsid w:val="018C64EB"/>
    <w:rsid w:val="01A54E03"/>
    <w:rsid w:val="01B65C37"/>
    <w:rsid w:val="01BD41CA"/>
    <w:rsid w:val="01CD09C7"/>
    <w:rsid w:val="01DA1858"/>
    <w:rsid w:val="01E14FCB"/>
    <w:rsid w:val="01E30A3F"/>
    <w:rsid w:val="02037734"/>
    <w:rsid w:val="02192067"/>
    <w:rsid w:val="022719C6"/>
    <w:rsid w:val="02352648"/>
    <w:rsid w:val="024805CF"/>
    <w:rsid w:val="024A7931"/>
    <w:rsid w:val="024C0DD3"/>
    <w:rsid w:val="02892149"/>
    <w:rsid w:val="028E1E4B"/>
    <w:rsid w:val="02933B42"/>
    <w:rsid w:val="02AE3550"/>
    <w:rsid w:val="02BA7C3B"/>
    <w:rsid w:val="02BD75DA"/>
    <w:rsid w:val="02C53F5A"/>
    <w:rsid w:val="02D8573D"/>
    <w:rsid w:val="02ED1C6E"/>
    <w:rsid w:val="033F1B4D"/>
    <w:rsid w:val="033F6241"/>
    <w:rsid w:val="034C4723"/>
    <w:rsid w:val="034D36C4"/>
    <w:rsid w:val="03565443"/>
    <w:rsid w:val="0360244B"/>
    <w:rsid w:val="039240D4"/>
    <w:rsid w:val="03C224B5"/>
    <w:rsid w:val="03D20992"/>
    <w:rsid w:val="03D72A0C"/>
    <w:rsid w:val="03ED24C4"/>
    <w:rsid w:val="04084668"/>
    <w:rsid w:val="042D496B"/>
    <w:rsid w:val="04300543"/>
    <w:rsid w:val="04345EB6"/>
    <w:rsid w:val="044F7903"/>
    <w:rsid w:val="04607E64"/>
    <w:rsid w:val="04795ACB"/>
    <w:rsid w:val="047A6522"/>
    <w:rsid w:val="04997253"/>
    <w:rsid w:val="04B261A8"/>
    <w:rsid w:val="04BD7443"/>
    <w:rsid w:val="04CF7DCA"/>
    <w:rsid w:val="04DD5D12"/>
    <w:rsid w:val="04E05093"/>
    <w:rsid w:val="05067797"/>
    <w:rsid w:val="05151EE0"/>
    <w:rsid w:val="05262CCC"/>
    <w:rsid w:val="052D768F"/>
    <w:rsid w:val="05970DBC"/>
    <w:rsid w:val="059B6797"/>
    <w:rsid w:val="05A639ED"/>
    <w:rsid w:val="05AB5E10"/>
    <w:rsid w:val="05B14546"/>
    <w:rsid w:val="05C42AA9"/>
    <w:rsid w:val="05DC0718"/>
    <w:rsid w:val="05FA380D"/>
    <w:rsid w:val="060C62A8"/>
    <w:rsid w:val="0611713A"/>
    <w:rsid w:val="062005AC"/>
    <w:rsid w:val="064160FC"/>
    <w:rsid w:val="06475263"/>
    <w:rsid w:val="066B7B34"/>
    <w:rsid w:val="06AB64F6"/>
    <w:rsid w:val="06DA692F"/>
    <w:rsid w:val="0726517D"/>
    <w:rsid w:val="07333B59"/>
    <w:rsid w:val="073A744C"/>
    <w:rsid w:val="074C2805"/>
    <w:rsid w:val="07723C29"/>
    <w:rsid w:val="077C7570"/>
    <w:rsid w:val="07BC4DAC"/>
    <w:rsid w:val="07D547F3"/>
    <w:rsid w:val="07E35D35"/>
    <w:rsid w:val="0803264A"/>
    <w:rsid w:val="080C6048"/>
    <w:rsid w:val="081261CB"/>
    <w:rsid w:val="08303F4C"/>
    <w:rsid w:val="08400BC0"/>
    <w:rsid w:val="08566507"/>
    <w:rsid w:val="08645AEE"/>
    <w:rsid w:val="086D4A33"/>
    <w:rsid w:val="08723662"/>
    <w:rsid w:val="08AD28D6"/>
    <w:rsid w:val="08C6543B"/>
    <w:rsid w:val="08DC2854"/>
    <w:rsid w:val="08F72170"/>
    <w:rsid w:val="095B1A60"/>
    <w:rsid w:val="096609CC"/>
    <w:rsid w:val="09844521"/>
    <w:rsid w:val="09990F8D"/>
    <w:rsid w:val="099F5C8C"/>
    <w:rsid w:val="09FC5184"/>
    <w:rsid w:val="0A0D52EB"/>
    <w:rsid w:val="0A171CC6"/>
    <w:rsid w:val="0A764343"/>
    <w:rsid w:val="0A990625"/>
    <w:rsid w:val="0AB75CD0"/>
    <w:rsid w:val="0AE7024E"/>
    <w:rsid w:val="0B112BB9"/>
    <w:rsid w:val="0B117F53"/>
    <w:rsid w:val="0B2D0584"/>
    <w:rsid w:val="0BBB55D1"/>
    <w:rsid w:val="0BE9257D"/>
    <w:rsid w:val="0C0C1263"/>
    <w:rsid w:val="0C213660"/>
    <w:rsid w:val="0C296B09"/>
    <w:rsid w:val="0C2B485C"/>
    <w:rsid w:val="0C415ABE"/>
    <w:rsid w:val="0C466EF1"/>
    <w:rsid w:val="0C825B1D"/>
    <w:rsid w:val="0CE477D4"/>
    <w:rsid w:val="0D7862A7"/>
    <w:rsid w:val="0D7A3E4E"/>
    <w:rsid w:val="0D815DD4"/>
    <w:rsid w:val="0D822FAA"/>
    <w:rsid w:val="0D9A50E8"/>
    <w:rsid w:val="0DAC7B3F"/>
    <w:rsid w:val="0DB914ED"/>
    <w:rsid w:val="0DC26C23"/>
    <w:rsid w:val="0DC65DA8"/>
    <w:rsid w:val="0DDD4857"/>
    <w:rsid w:val="0E117466"/>
    <w:rsid w:val="0EE45DA1"/>
    <w:rsid w:val="0EFC7498"/>
    <w:rsid w:val="0F2033CB"/>
    <w:rsid w:val="0F3E448E"/>
    <w:rsid w:val="0F451083"/>
    <w:rsid w:val="0F503246"/>
    <w:rsid w:val="0F5372FC"/>
    <w:rsid w:val="0F6B49B9"/>
    <w:rsid w:val="0FBC1FDD"/>
    <w:rsid w:val="0FC55354"/>
    <w:rsid w:val="100A29AA"/>
    <w:rsid w:val="10225B93"/>
    <w:rsid w:val="102D3BD1"/>
    <w:rsid w:val="103E43B0"/>
    <w:rsid w:val="105C6392"/>
    <w:rsid w:val="10A163A4"/>
    <w:rsid w:val="10AE74B1"/>
    <w:rsid w:val="10B212C9"/>
    <w:rsid w:val="10B8417A"/>
    <w:rsid w:val="10C1473A"/>
    <w:rsid w:val="10C54A54"/>
    <w:rsid w:val="10CE519D"/>
    <w:rsid w:val="10E32902"/>
    <w:rsid w:val="11064A7A"/>
    <w:rsid w:val="111D18EE"/>
    <w:rsid w:val="11340099"/>
    <w:rsid w:val="115003FC"/>
    <w:rsid w:val="115125DB"/>
    <w:rsid w:val="116539AA"/>
    <w:rsid w:val="116F5E64"/>
    <w:rsid w:val="11817DEE"/>
    <w:rsid w:val="1195093F"/>
    <w:rsid w:val="11AF192F"/>
    <w:rsid w:val="11D55397"/>
    <w:rsid w:val="11DF6DEE"/>
    <w:rsid w:val="11F03528"/>
    <w:rsid w:val="12114E5B"/>
    <w:rsid w:val="121B59F3"/>
    <w:rsid w:val="1262750B"/>
    <w:rsid w:val="127767BA"/>
    <w:rsid w:val="128140A0"/>
    <w:rsid w:val="12974580"/>
    <w:rsid w:val="12BE01B3"/>
    <w:rsid w:val="12C26FCA"/>
    <w:rsid w:val="12E36E79"/>
    <w:rsid w:val="12ED5AE5"/>
    <w:rsid w:val="12FD34B9"/>
    <w:rsid w:val="130D3AFF"/>
    <w:rsid w:val="13367092"/>
    <w:rsid w:val="13557485"/>
    <w:rsid w:val="13BD2097"/>
    <w:rsid w:val="13BF7656"/>
    <w:rsid w:val="13C03F44"/>
    <w:rsid w:val="13F143A5"/>
    <w:rsid w:val="13FE179E"/>
    <w:rsid w:val="143C1E1E"/>
    <w:rsid w:val="14461DCE"/>
    <w:rsid w:val="147355D8"/>
    <w:rsid w:val="14764912"/>
    <w:rsid w:val="1485385B"/>
    <w:rsid w:val="14AA04AF"/>
    <w:rsid w:val="14B00D4D"/>
    <w:rsid w:val="14B16842"/>
    <w:rsid w:val="14E52CF4"/>
    <w:rsid w:val="14F522C4"/>
    <w:rsid w:val="15145802"/>
    <w:rsid w:val="151D08C7"/>
    <w:rsid w:val="153C676B"/>
    <w:rsid w:val="155F32D1"/>
    <w:rsid w:val="15C01C75"/>
    <w:rsid w:val="164B344A"/>
    <w:rsid w:val="165016E3"/>
    <w:rsid w:val="16A12AE3"/>
    <w:rsid w:val="16A333EA"/>
    <w:rsid w:val="17237EFC"/>
    <w:rsid w:val="17336739"/>
    <w:rsid w:val="17345433"/>
    <w:rsid w:val="17534A2A"/>
    <w:rsid w:val="178103CD"/>
    <w:rsid w:val="17886BD5"/>
    <w:rsid w:val="17994054"/>
    <w:rsid w:val="17EB28F0"/>
    <w:rsid w:val="18025048"/>
    <w:rsid w:val="180D54A6"/>
    <w:rsid w:val="18136FEF"/>
    <w:rsid w:val="181A3B68"/>
    <w:rsid w:val="182E6B59"/>
    <w:rsid w:val="183855FB"/>
    <w:rsid w:val="18534136"/>
    <w:rsid w:val="18722EE9"/>
    <w:rsid w:val="188855DE"/>
    <w:rsid w:val="18C768D2"/>
    <w:rsid w:val="190B183B"/>
    <w:rsid w:val="19130C48"/>
    <w:rsid w:val="192860CE"/>
    <w:rsid w:val="19A61917"/>
    <w:rsid w:val="19DC4089"/>
    <w:rsid w:val="1A17021F"/>
    <w:rsid w:val="1A4C6D74"/>
    <w:rsid w:val="1A660513"/>
    <w:rsid w:val="1A6A52EB"/>
    <w:rsid w:val="1A8268B2"/>
    <w:rsid w:val="1AA9772E"/>
    <w:rsid w:val="1AD75965"/>
    <w:rsid w:val="1AE60F29"/>
    <w:rsid w:val="1AE85AD5"/>
    <w:rsid w:val="1AED4973"/>
    <w:rsid w:val="1B0649AE"/>
    <w:rsid w:val="1B076D7B"/>
    <w:rsid w:val="1B086C5C"/>
    <w:rsid w:val="1B1741F5"/>
    <w:rsid w:val="1B43291B"/>
    <w:rsid w:val="1B6805D3"/>
    <w:rsid w:val="1BE232B7"/>
    <w:rsid w:val="1C6D561F"/>
    <w:rsid w:val="1C8409D2"/>
    <w:rsid w:val="1C876675"/>
    <w:rsid w:val="1CB1516A"/>
    <w:rsid w:val="1CC222FA"/>
    <w:rsid w:val="1CDD4991"/>
    <w:rsid w:val="1CE51C0D"/>
    <w:rsid w:val="1CEE6A2D"/>
    <w:rsid w:val="1D496962"/>
    <w:rsid w:val="1D652F11"/>
    <w:rsid w:val="1D6E6DA7"/>
    <w:rsid w:val="1D7C6EE1"/>
    <w:rsid w:val="1D9543FF"/>
    <w:rsid w:val="1D955A6F"/>
    <w:rsid w:val="1D967EE4"/>
    <w:rsid w:val="1DA872D1"/>
    <w:rsid w:val="1DCC50E0"/>
    <w:rsid w:val="1DD46420"/>
    <w:rsid w:val="1E290310"/>
    <w:rsid w:val="1E351DD0"/>
    <w:rsid w:val="1E400D11"/>
    <w:rsid w:val="1E4744D0"/>
    <w:rsid w:val="1E587736"/>
    <w:rsid w:val="1E980EB0"/>
    <w:rsid w:val="1EAC52DB"/>
    <w:rsid w:val="1EE52936"/>
    <w:rsid w:val="1EE92A02"/>
    <w:rsid w:val="1EE94B80"/>
    <w:rsid w:val="1F0F6CA7"/>
    <w:rsid w:val="1F3A7E38"/>
    <w:rsid w:val="1FC10B41"/>
    <w:rsid w:val="20047A83"/>
    <w:rsid w:val="20114533"/>
    <w:rsid w:val="206B4906"/>
    <w:rsid w:val="207A59C1"/>
    <w:rsid w:val="20E0282B"/>
    <w:rsid w:val="20E5451C"/>
    <w:rsid w:val="20ED1916"/>
    <w:rsid w:val="211F34E2"/>
    <w:rsid w:val="212925B3"/>
    <w:rsid w:val="21486495"/>
    <w:rsid w:val="214C67DE"/>
    <w:rsid w:val="214D3DFA"/>
    <w:rsid w:val="2160115C"/>
    <w:rsid w:val="21BD2871"/>
    <w:rsid w:val="21E155D2"/>
    <w:rsid w:val="21E712E2"/>
    <w:rsid w:val="21EC608B"/>
    <w:rsid w:val="222D6AFA"/>
    <w:rsid w:val="224871BC"/>
    <w:rsid w:val="22634455"/>
    <w:rsid w:val="227B6E3E"/>
    <w:rsid w:val="227E692E"/>
    <w:rsid w:val="22963565"/>
    <w:rsid w:val="22D07C6D"/>
    <w:rsid w:val="22EC4030"/>
    <w:rsid w:val="23125DC9"/>
    <w:rsid w:val="23210F90"/>
    <w:rsid w:val="23414218"/>
    <w:rsid w:val="23527DD7"/>
    <w:rsid w:val="236A5F1D"/>
    <w:rsid w:val="239403A3"/>
    <w:rsid w:val="23CB7177"/>
    <w:rsid w:val="23F1678D"/>
    <w:rsid w:val="24011C93"/>
    <w:rsid w:val="24045981"/>
    <w:rsid w:val="241E5CD3"/>
    <w:rsid w:val="242B3D82"/>
    <w:rsid w:val="243A3472"/>
    <w:rsid w:val="243F3E9B"/>
    <w:rsid w:val="24410AC6"/>
    <w:rsid w:val="244F4692"/>
    <w:rsid w:val="245931AF"/>
    <w:rsid w:val="245E07C6"/>
    <w:rsid w:val="24751567"/>
    <w:rsid w:val="247D2744"/>
    <w:rsid w:val="249E675D"/>
    <w:rsid w:val="24D30BEA"/>
    <w:rsid w:val="24FA2C12"/>
    <w:rsid w:val="250A7C70"/>
    <w:rsid w:val="25153008"/>
    <w:rsid w:val="25301B27"/>
    <w:rsid w:val="254F1E1C"/>
    <w:rsid w:val="257D202D"/>
    <w:rsid w:val="258D5FED"/>
    <w:rsid w:val="25BC1E08"/>
    <w:rsid w:val="25F62338"/>
    <w:rsid w:val="2600620B"/>
    <w:rsid w:val="26123616"/>
    <w:rsid w:val="26413EBD"/>
    <w:rsid w:val="26543C2E"/>
    <w:rsid w:val="265A0AFC"/>
    <w:rsid w:val="26706CE4"/>
    <w:rsid w:val="2685028B"/>
    <w:rsid w:val="26D046B6"/>
    <w:rsid w:val="27335F39"/>
    <w:rsid w:val="274D5576"/>
    <w:rsid w:val="27AD72D1"/>
    <w:rsid w:val="27F95147"/>
    <w:rsid w:val="28075C99"/>
    <w:rsid w:val="2809596A"/>
    <w:rsid w:val="280F45F6"/>
    <w:rsid w:val="287208B4"/>
    <w:rsid w:val="287C4E9D"/>
    <w:rsid w:val="28CC3439"/>
    <w:rsid w:val="28E05C4D"/>
    <w:rsid w:val="28FE6678"/>
    <w:rsid w:val="29427292"/>
    <w:rsid w:val="29440E3F"/>
    <w:rsid w:val="29651D97"/>
    <w:rsid w:val="29670FD3"/>
    <w:rsid w:val="296F2E8F"/>
    <w:rsid w:val="29C04AB1"/>
    <w:rsid w:val="29C2665A"/>
    <w:rsid w:val="29D57EAB"/>
    <w:rsid w:val="29D90675"/>
    <w:rsid w:val="29FA0FC5"/>
    <w:rsid w:val="29FA2D3E"/>
    <w:rsid w:val="2A2B4FE2"/>
    <w:rsid w:val="2A4360F7"/>
    <w:rsid w:val="2A4D7B30"/>
    <w:rsid w:val="2A4F6773"/>
    <w:rsid w:val="2AB62F8B"/>
    <w:rsid w:val="2AD56ABF"/>
    <w:rsid w:val="2B1C7964"/>
    <w:rsid w:val="2B2259EF"/>
    <w:rsid w:val="2B4A3852"/>
    <w:rsid w:val="2B5C3145"/>
    <w:rsid w:val="2B6124BD"/>
    <w:rsid w:val="2B673AA1"/>
    <w:rsid w:val="2B674E8A"/>
    <w:rsid w:val="2B6A353A"/>
    <w:rsid w:val="2B867AC5"/>
    <w:rsid w:val="2BAE4D75"/>
    <w:rsid w:val="2BBF71FC"/>
    <w:rsid w:val="2BDB094E"/>
    <w:rsid w:val="2BE35F74"/>
    <w:rsid w:val="2BF93F61"/>
    <w:rsid w:val="2C23350E"/>
    <w:rsid w:val="2C481CF3"/>
    <w:rsid w:val="2C593217"/>
    <w:rsid w:val="2C9F20AD"/>
    <w:rsid w:val="2CB170F1"/>
    <w:rsid w:val="2CD4100C"/>
    <w:rsid w:val="2CE14F71"/>
    <w:rsid w:val="2CFB0D22"/>
    <w:rsid w:val="2CFC3C80"/>
    <w:rsid w:val="2D5323D7"/>
    <w:rsid w:val="2D8672F9"/>
    <w:rsid w:val="2D893481"/>
    <w:rsid w:val="2DBB05CE"/>
    <w:rsid w:val="2E051CB2"/>
    <w:rsid w:val="2E0F5920"/>
    <w:rsid w:val="2E2641A2"/>
    <w:rsid w:val="2E4406CF"/>
    <w:rsid w:val="2E5E1049"/>
    <w:rsid w:val="2E7A230B"/>
    <w:rsid w:val="2E905A1F"/>
    <w:rsid w:val="2EFD5639"/>
    <w:rsid w:val="2F5F52F7"/>
    <w:rsid w:val="2F66346E"/>
    <w:rsid w:val="2F8E6FEF"/>
    <w:rsid w:val="2FA81EC9"/>
    <w:rsid w:val="2FCA4870"/>
    <w:rsid w:val="2FF95E69"/>
    <w:rsid w:val="300246FB"/>
    <w:rsid w:val="301A3CBF"/>
    <w:rsid w:val="302A5A00"/>
    <w:rsid w:val="30354C83"/>
    <w:rsid w:val="303C6FD0"/>
    <w:rsid w:val="305A66EA"/>
    <w:rsid w:val="309E3D9B"/>
    <w:rsid w:val="30A65F64"/>
    <w:rsid w:val="30CE5327"/>
    <w:rsid w:val="30DF7DF2"/>
    <w:rsid w:val="30E241D3"/>
    <w:rsid w:val="30EA50F3"/>
    <w:rsid w:val="30F51213"/>
    <w:rsid w:val="31374229"/>
    <w:rsid w:val="31412E1B"/>
    <w:rsid w:val="315505A7"/>
    <w:rsid w:val="317433D6"/>
    <w:rsid w:val="31825374"/>
    <w:rsid w:val="31B672B8"/>
    <w:rsid w:val="31C35EC1"/>
    <w:rsid w:val="320C5139"/>
    <w:rsid w:val="32772D76"/>
    <w:rsid w:val="32803FFD"/>
    <w:rsid w:val="328133DD"/>
    <w:rsid w:val="32881E89"/>
    <w:rsid w:val="328F6642"/>
    <w:rsid w:val="32A1447B"/>
    <w:rsid w:val="32A71607"/>
    <w:rsid w:val="32C97514"/>
    <w:rsid w:val="32D33E29"/>
    <w:rsid w:val="32DF34B8"/>
    <w:rsid w:val="32E4633A"/>
    <w:rsid w:val="32E57C9D"/>
    <w:rsid w:val="33142BE0"/>
    <w:rsid w:val="33887F26"/>
    <w:rsid w:val="33AD3470"/>
    <w:rsid w:val="33B16173"/>
    <w:rsid w:val="33BB48F7"/>
    <w:rsid w:val="33C6751F"/>
    <w:rsid w:val="33D85F45"/>
    <w:rsid w:val="33EA07CB"/>
    <w:rsid w:val="33ED7470"/>
    <w:rsid w:val="340746EF"/>
    <w:rsid w:val="346760D7"/>
    <w:rsid w:val="34A87E1B"/>
    <w:rsid w:val="34CD2EE2"/>
    <w:rsid w:val="35107FBF"/>
    <w:rsid w:val="35204E7E"/>
    <w:rsid w:val="3540418F"/>
    <w:rsid w:val="354325E6"/>
    <w:rsid w:val="35500DC2"/>
    <w:rsid w:val="35561172"/>
    <w:rsid w:val="356C59D3"/>
    <w:rsid w:val="35B746AA"/>
    <w:rsid w:val="35E06513"/>
    <w:rsid w:val="36101C06"/>
    <w:rsid w:val="3619010D"/>
    <w:rsid w:val="36236300"/>
    <w:rsid w:val="36311BA1"/>
    <w:rsid w:val="36616F1C"/>
    <w:rsid w:val="36662EE5"/>
    <w:rsid w:val="36723C5D"/>
    <w:rsid w:val="368C2F70"/>
    <w:rsid w:val="368F30EB"/>
    <w:rsid w:val="369415F1"/>
    <w:rsid w:val="36A04620"/>
    <w:rsid w:val="36AF122B"/>
    <w:rsid w:val="36BF7F3F"/>
    <w:rsid w:val="3710579D"/>
    <w:rsid w:val="371F5B92"/>
    <w:rsid w:val="372B2B9A"/>
    <w:rsid w:val="372D6D3A"/>
    <w:rsid w:val="372E7997"/>
    <w:rsid w:val="37326D54"/>
    <w:rsid w:val="37670CB1"/>
    <w:rsid w:val="376B527C"/>
    <w:rsid w:val="37834A99"/>
    <w:rsid w:val="37BD5AB0"/>
    <w:rsid w:val="38100B35"/>
    <w:rsid w:val="38205D7D"/>
    <w:rsid w:val="38235AFA"/>
    <w:rsid w:val="38683BB3"/>
    <w:rsid w:val="386E2363"/>
    <w:rsid w:val="38901A05"/>
    <w:rsid w:val="38995E18"/>
    <w:rsid w:val="389F5E73"/>
    <w:rsid w:val="38A8090F"/>
    <w:rsid w:val="38AA101C"/>
    <w:rsid w:val="39013E5E"/>
    <w:rsid w:val="39103214"/>
    <w:rsid w:val="39152F86"/>
    <w:rsid w:val="391F2FBE"/>
    <w:rsid w:val="39250B8F"/>
    <w:rsid w:val="39355204"/>
    <w:rsid w:val="39682C9F"/>
    <w:rsid w:val="39811195"/>
    <w:rsid w:val="398A607B"/>
    <w:rsid w:val="39C96289"/>
    <w:rsid w:val="39E353D5"/>
    <w:rsid w:val="39F1015A"/>
    <w:rsid w:val="3A454C3B"/>
    <w:rsid w:val="3A495278"/>
    <w:rsid w:val="3A746278"/>
    <w:rsid w:val="3A930701"/>
    <w:rsid w:val="3AB462CE"/>
    <w:rsid w:val="3ABA665C"/>
    <w:rsid w:val="3AD95179"/>
    <w:rsid w:val="3AE50C3F"/>
    <w:rsid w:val="3B2B0813"/>
    <w:rsid w:val="3B492149"/>
    <w:rsid w:val="3B4C065B"/>
    <w:rsid w:val="3B6040C2"/>
    <w:rsid w:val="3B6620EF"/>
    <w:rsid w:val="3B711BAA"/>
    <w:rsid w:val="3B7A441B"/>
    <w:rsid w:val="3B824C26"/>
    <w:rsid w:val="3BA477D3"/>
    <w:rsid w:val="3BA63103"/>
    <w:rsid w:val="3BA70579"/>
    <w:rsid w:val="3BB91A8D"/>
    <w:rsid w:val="3BB93D77"/>
    <w:rsid w:val="3BD03C96"/>
    <w:rsid w:val="3BE81F5C"/>
    <w:rsid w:val="3BF94F1B"/>
    <w:rsid w:val="3C0B7DB6"/>
    <w:rsid w:val="3C37687B"/>
    <w:rsid w:val="3C5440CB"/>
    <w:rsid w:val="3C5C43F9"/>
    <w:rsid w:val="3C9F5F69"/>
    <w:rsid w:val="3CB850F4"/>
    <w:rsid w:val="3D5B369C"/>
    <w:rsid w:val="3D673DEF"/>
    <w:rsid w:val="3D6C58AA"/>
    <w:rsid w:val="3D7761CE"/>
    <w:rsid w:val="3D8F7722"/>
    <w:rsid w:val="3E043731"/>
    <w:rsid w:val="3E156FDC"/>
    <w:rsid w:val="3E1D1A24"/>
    <w:rsid w:val="3E310984"/>
    <w:rsid w:val="3E5207A7"/>
    <w:rsid w:val="3E7C6D16"/>
    <w:rsid w:val="3EC11C25"/>
    <w:rsid w:val="3ECB7FE4"/>
    <w:rsid w:val="3ED656D0"/>
    <w:rsid w:val="3EF3010E"/>
    <w:rsid w:val="3F1F420F"/>
    <w:rsid w:val="3F212548"/>
    <w:rsid w:val="3F461927"/>
    <w:rsid w:val="3F462957"/>
    <w:rsid w:val="3F4D5267"/>
    <w:rsid w:val="3F4F5EDA"/>
    <w:rsid w:val="3F7803A1"/>
    <w:rsid w:val="3F80147F"/>
    <w:rsid w:val="3FF9530A"/>
    <w:rsid w:val="3FFA53EF"/>
    <w:rsid w:val="40103F10"/>
    <w:rsid w:val="40122476"/>
    <w:rsid w:val="40381A48"/>
    <w:rsid w:val="403B0064"/>
    <w:rsid w:val="40437EC3"/>
    <w:rsid w:val="404C3488"/>
    <w:rsid w:val="407F6D5B"/>
    <w:rsid w:val="40866647"/>
    <w:rsid w:val="40A534EA"/>
    <w:rsid w:val="40A555C1"/>
    <w:rsid w:val="40AB6FC5"/>
    <w:rsid w:val="40C9480D"/>
    <w:rsid w:val="40CA4DD2"/>
    <w:rsid w:val="40D23C76"/>
    <w:rsid w:val="40E8469E"/>
    <w:rsid w:val="411B45C3"/>
    <w:rsid w:val="411F02FE"/>
    <w:rsid w:val="4127565B"/>
    <w:rsid w:val="41332493"/>
    <w:rsid w:val="414E4708"/>
    <w:rsid w:val="41894C7C"/>
    <w:rsid w:val="41BE28AF"/>
    <w:rsid w:val="41C21E3E"/>
    <w:rsid w:val="41FD489D"/>
    <w:rsid w:val="423502D5"/>
    <w:rsid w:val="424035CE"/>
    <w:rsid w:val="425928C9"/>
    <w:rsid w:val="42764014"/>
    <w:rsid w:val="428D4819"/>
    <w:rsid w:val="42937ADC"/>
    <w:rsid w:val="42B75CFC"/>
    <w:rsid w:val="42B92563"/>
    <w:rsid w:val="42BF378B"/>
    <w:rsid w:val="42E67134"/>
    <w:rsid w:val="42FE4724"/>
    <w:rsid w:val="43097ED3"/>
    <w:rsid w:val="4314597F"/>
    <w:rsid w:val="43204B22"/>
    <w:rsid w:val="432228EB"/>
    <w:rsid w:val="432B4E63"/>
    <w:rsid w:val="43585553"/>
    <w:rsid w:val="43816114"/>
    <w:rsid w:val="43C02024"/>
    <w:rsid w:val="43C94D7C"/>
    <w:rsid w:val="43E17858"/>
    <w:rsid w:val="43E3149A"/>
    <w:rsid w:val="43EB2B73"/>
    <w:rsid w:val="43FD54AD"/>
    <w:rsid w:val="440A5D87"/>
    <w:rsid w:val="441B2B7F"/>
    <w:rsid w:val="441B7F3D"/>
    <w:rsid w:val="443C3BC5"/>
    <w:rsid w:val="445B1740"/>
    <w:rsid w:val="448E4357"/>
    <w:rsid w:val="448F1C55"/>
    <w:rsid w:val="44A46099"/>
    <w:rsid w:val="44A51045"/>
    <w:rsid w:val="44B001A5"/>
    <w:rsid w:val="44BE250A"/>
    <w:rsid w:val="44C71617"/>
    <w:rsid w:val="44D747B2"/>
    <w:rsid w:val="451F6FCC"/>
    <w:rsid w:val="453255E8"/>
    <w:rsid w:val="454B42E9"/>
    <w:rsid w:val="455C6F66"/>
    <w:rsid w:val="45952733"/>
    <w:rsid w:val="45A52BC6"/>
    <w:rsid w:val="45BB73CE"/>
    <w:rsid w:val="460335E7"/>
    <w:rsid w:val="460843C8"/>
    <w:rsid w:val="46144D30"/>
    <w:rsid w:val="461962C3"/>
    <w:rsid w:val="461E0E78"/>
    <w:rsid w:val="46381FC9"/>
    <w:rsid w:val="469B16CF"/>
    <w:rsid w:val="46B06DAB"/>
    <w:rsid w:val="46CE67D9"/>
    <w:rsid w:val="46D73C7C"/>
    <w:rsid w:val="472D19D2"/>
    <w:rsid w:val="47586AD0"/>
    <w:rsid w:val="478F28C0"/>
    <w:rsid w:val="47D62B48"/>
    <w:rsid w:val="47FE7D87"/>
    <w:rsid w:val="483F5D23"/>
    <w:rsid w:val="484A2C8B"/>
    <w:rsid w:val="484D5B52"/>
    <w:rsid w:val="484F4C8A"/>
    <w:rsid w:val="486D702B"/>
    <w:rsid w:val="486F1186"/>
    <w:rsid w:val="488533A4"/>
    <w:rsid w:val="48A24267"/>
    <w:rsid w:val="48A95100"/>
    <w:rsid w:val="48AE6B33"/>
    <w:rsid w:val="48DB7593"/>
    <w:rsid w:val="4900334A"/>
    <w:rsid w:val="49301FB3"/>
    <w:rsid w:val="494B2FA4"/>
    <w:rsid w:val="494E0AD2"/>
    <w:rsid w:val="49592D10"/>
    <w:rsid w:val="49746C79"/>
    <w:rsid w:val="49AD34D2"/>
    <w:rsid w:val="49D10FF1"/>
    <w:rsid w:val="49D35C47"/>
    <w:rsid w:val="49E1797F"/>
    <w:rsid w:val="49EC082B"/>
    <w:rsid w:val="49F773BC"/>
    <w:rsid w:val="4A1479C9"/>
    <w:rsid w:val="4A4403C3"/>
    <w:rsid w:val="4A572D17"/>
    <w:rsid w:val="4A8E5EFA"/>
    <w:rsid w:val="4AC876C1"/>
    <w:rsid w:val="4B107C77"/>
    <w:rsid w:val="4B36164A"/>
    <w:rsid w:val="4B403BFD"/>
    <w:rsid w:val="4B594993"/>
    <w:rsid w:val="4B675632"/>
    <w:rsid w:val="4B780210"/>
    <w:rsid w:val="4B927EB3"/>
    <w:rsid w:val="4BAA2500"/>
    <w:rsid w:val="4BB21F4D"/>
    <w:rsid w:val="4BF930BB"/>
    <w:rsid w:val="4C017B05"/>
    <w:rsid w:val="4C1E1DBE"/>
    <w:rsid w:val="4C250ED9"/>
    <w:rsid w:val="4CB32B59"/>
    <w:rsid w:val="4CC23FEE"/>
    <w:rsid w:val="4CCC1EC1"/>
    <w:rsid w:val="4D145658"/>
    <w:rsid w:val="4D8736EE"/>
    <w:rsid w:val="4D8F59C0"/>
    <w:rsid w:val="4DB45663"/>
    <w:rsid w:val="4DDC4939"/>
    <w:rsid w:val="4DE5597A"/>
    <w:rsid w:val="4DFD46D4"/>
    <w:rsid w:val="4E4019B5"/>
    <w:rsid w:val="4E946A0E"/>
    <w:rsid w:val="4EBE6421"/>
    <w:rsid w:val="4ED50927"/>
    <w:rsid w:val="4ED97D20"/>
    <w:rsid w:val="4EEE4370"/>
    <w:rsid w:val="4EFE7520"/>
    <w:rsid w:val="4F1B59B1"/>
    <w:rsid w:val="4F274DB5"/>
    <w:rsid w:val="4F6A127C"/>
    <w:rsid w:val="4FA238DA"/>
    <w:rsid w:val="4FE17A31"/>
    <w:rsid w:val="4FF754A7"/>
    <w:rsid w:val="50313F0E"/>
    <w:rsid w:val="503C1837"/>
    <w:rsid w:val="50583849"/>
    <w:rsid w:val="5063750D"/>
    <w:rsid w:val="5076097A"/>
    <w:rsid w:val="507656B6"/>
    <w:rsid w:val="50780742"/>
    <w:rsid w:val="508E6792"/>
    <w:rsid w:val="509F0E1A"/>
    <w:rsid w:val="50BF25BD"/>
    <w:rsid w:val="50EC3C42"/>
    <w:rsid w:val="510A608D"/>
    <w:rsid w:val="512518F5"/>
    <w:rsid w:val="51257080"/>
    <w:rsid w:val="512E0FD1"/>
    <w:rsid w:val="514E7957"/>
    <w:rsid w:val="51743F62"/>
    <w:rsid w:val="51BE64E4"/>
    <w:rsid w:val="51E56017"/>
    <w:rsid w:val="52180281"/>
    <w:rsid w:val="522E1823"/>
    <w:rsid w:val="52526B1F"/>
    <w:rsid w:val="525B114E"/>
    <w:rsid w:val="526F57C8"/>
    <w:rsid w:val="528A38A3"/>
    <w:rsid w:val="52E95D1C"/>
    <w:rsid w:val="530D12E7"/>
    <w:rsid w:val="5313095F"/>
    <w:rsid w:val="53292A17"/>
    <w:rsid w:val="534B1D67"/>
    <w:rsid w:val="53551352"/>
    <w:rsid w:val="539555D8"/>
    <w:rsid w:val="539A5417"/>
    <w:rsid w:val="539E7B02"/>
    <w:rsid w:val="53A34E57"/>
    <w:rsid w:val="53B93D04"/>
    <w:rsid w:val="53D74AFD"/>
    <w:rsid w:val="53E14C07"/>
    <w:rsid w:val="53EC1737"/>
    <w:rsid w:val="53F92547"/>
    <w:rsid w:val="5438082E"/>
    <w:rsid w:val="54681A3C"/>
    <w:rsid w:val="546E385E"/>
    <w:rsid w:val="54700B19"/>
    <w:rsid w:val="547C3DF1"/>
    <w:rsid w:val="54A454D1"/>
    <w:rsid w:val="54AF0BA3"/>
    <w:rsid w:val="54B16D06"/>
    <w:rsid w:val="54BF6BBB"/>
    <w:rsid w:val="54C515CC"/>
    <w:rsid w:val="54C5752B"/>
    <w:rsid w:val="54CB6F02"/>
    <w:rsid w:val="54D843B3"/>
    <w:rsid w:val="551C0736"/>
    <w:rsid w:val="555B2AFA"/>
    <w:rsid w:val="556331CF"/>
    <w:rsid w:val="556D100F"/>
    <w:rsid w:val="55860A22"/>
    <w:rsid w:val="558F7977"/>
    <w:rsid w:val="55916C01"/>
    <w:rsid w:val="55AB2404"/>
    <w:rsid w:val="55BF7EEB"/>
    <w:rsid w:val="55CF7517"/>
    <w:rsid w:val="55DA364F"/>
    <w:rsid w:val="55DB0205"/>
    <w:rsid w:val="55EB40B5"/>
    <w:rsid w:val="55F859E9"/>
    <w:rsid w:val="561C2272"/>
    <w:rsid w:val="56457FFF"/>
    <w:rsid w:val="564F1D64"/>
    <w:rsid w:val="56561897"/>
    <w:rsid w:val="565A455B"/>
    <w:rsid w:val="566E526A"/>
    <w:rsid w:val="568B0A47"/>
    <w:rsid w:val="56A27597"/>
    <w:rsid w:val="56A73E17"/>
    <w:rsid w:val="56D65B24"/>
    <w:rsid w:val="56F15927"/>
    <w:rsid w:val="57105D48"/>
    <w:rsid w:val="571A4D1F"/>
    <w:rsid w:val="57322F93"/>
    <w:rsid w:val="573C71F5"/>
    <w:rsid w:val="5741310A"/>
    <w:rsid w:val="574518BF"/>
    <w:rsid w:val="574F623B"/>
    <w:rsid w:val="575E0F8D"/>
    <w:rsid w:val="57740457"/>
    <w:rsid w:val="57766928"/>
    <w:rsid w:val="577760A5"/>
    <w:rsid w:val="577E1D76"/>
    <w:rsid w:val="578B04C8"/>
    <w:rsid w:val="57944402"/>
    <w:rsid w:val="57A14F38"/>
    <w:rsid w:val="57AB03C8"/>
    <w:rsid w:val="57B8376D"/>
    <w:rsid w:val="57D35B23"/>
    <w:rsid w:val="57E4654A"/>
    <w:rsid w:val="580C10B1"/>
    <w:rsid w:val="5819427A"/>
    <w:rsid w:val="583B7A3E"/>
    <w:rsid w:val="585F1E3B"/>
    <w:rsid w:val="58621971"/>
    <w:rsid w:val="58781394"/>
    <w:rsid w:val="588C3F04"/>
    <w:rsid w:val="588E3C36"/>
    <w:rsid w:val="58AC1FE0"/>
    <w:rsid w:val="58BB2862"/>
    <w:rsid w:val="58E739BE"/>
    <w:rsid w:val="590236BB"/>
    <w:rsid w:val="595447DE"/>
    <w:rsid w:val="59672221"/>
    <w:rsid w:val="596B3082"/>
    <w:rsid w:val="5981664F"/>
    <w:rsid w:val="59871938"/>
    <w:rsid w:val="59911E71"/>
    <w:rsid w:val="59A377C0"/>
    <w:rsid w:val="59AB0197"/>
    <w:rsid w:val="59BC78AB"/>
    <w:rsid w:val="59CA02A8"/>
    <w:rsid w:val="59D332D5"/>
    <w:rsid w:val="59D40B2D"/>
    <w:rsid w:val="59E56370"/>
    <w:rsid w:val="5A1F5D26"/>
    <w:rsid w:val="5A1F7AD4"/>
    <w:rsid w:val="5A2E65F6"/>
    <w:rsid w:val="5A653ECA"/>
    <w:rsid w:val="5A781ED1"/>
    <w:rsid w:val="5A8D42DE"/>
    <w:rsid w:val="5A9D0AC0"/>
    <w:rsid w:val="5ABB7ED4"/>
    <w:rsid w:val="5AC064A2"/>
    <w:rsid w:val="5B020811"/>
    <w:rsid w:val="5B4703A5"/>
    <w:rsid w:val="5B6A2FD1"/>
    <w:rsid w:val="5B7837BE"/>
    <w:rsid w:val="5B890AD6"/>
    <w:rsid w:val="5BA07B1E"/>
    <w:rsid w:val="5BA63275"/>
    <w:rsid w:val="5BB21DAF"/>
    <w:rsid w:val="5BCE36B3"/>
    <w:rsid w:val="5BDD513D"/>
    <w:rsid w:val="5BFF24B0"/>
    <w:rsid w:val="5C151BA6"/>
    <w:rsid w:val="5C266D33"/>
    <w:rsid w:val="5C642A8C"/>
    <w:rsid w:val="5C6F4DC7"/>
    <w:rsid w:val="5C882109"/>
    <w:rsid w:val="5C9910AE"/>
    <w:rsid w:val="5CAE57CF"/>
    <w:rsid w:val="5CC74C19"/>
    <w:rsid w:val="5CCF44CE"/>
    <w:rsid w:val="5CE172C2"/>
    <w:rsid w:val="5CEB4C0A"/>
    <w:rsid w:val="5CFD1C22"/>
    <w:rsid w:val="5D122124"/>
    <w:rsid w:val="5D284EF1"/>
    <w:rsid w:val="5D306F7C"/>
    <w:rsid w:val="5D4A097F"/>
    <w:rsid w:val="5D681792"/>
    <w:rsid w:val="5D6857D5"/>
    <w:rsid w:val="5D76122C"/>
    <w:rsid w:val="5D83094D"/>
    <w:rsid w:val="5DD0351A"/>
    <w:rsid w:val="5DD12CF5"/>
    <w:rsid w:val="5DE738B3"/>
    <w:rsid w:val="5DE809A4"/>
    <w:rsid w:val="5E011F30"/>
    <w:rsid w:val="5E02070B"/>
    <w:rsid w:val="5E0813EC"/>
    <w:rsid w:val="5E124978"/>
    <w:rsid w:val="5E3C47EF"/>
    <w:rsid w:val="5E592F0A"/>
    <w:rsid w:val="5E5D6677"/>
    <w:rsid w:val="5E714676"/>
    <w:rsid w:val="5EDC0F12"/>
    <w:rsid w:val="5EE313A7"/>
    <w:rsid w:val="5EE612BF"/>
    <w:rsid w:val="5EF0008D"/>
    <w:rsid w:val="5F013333"/>
    <w:rsid w:val="5F074B28"/>
    <w:rsid w:val="5F166FCB"/>
    <w:rsid w:val="5F1C205A"/>
    <w:rsid w:val="5F8038A5"/>
    <w:rsid w:val="5FB13FA0"/>
    <w:rsid w:val="5FD0023F"/>
    <w:rsid w:val="5FE661B2"/>
    <w:rsid w:val="5FE763FD"/>
    <w:rsid w:val="5FEA0949"/>
    <w:rsid w:val="5FF10D8F"/>
    <w:rsid w:val="5FF833A4"/>
    <w:rsid w:val="601714D3"/>
    <w:rsid w:val="601C003C"/>
    <w:rsid w:val="602264B5"/>
    <w:rsid w:val="603F1AE8"/>
    <w:rsid w:val="60542B3F"/>
    <w:rsid w:val="60600076"/>
    <w:rsid w:val="606538C7"/>
    <w:rsid w:val="606C2E92"/>
    <w:rsid w:val="60862C5C"/>
    <w:rsid w:val="60C00F57"/>
    <w:rsid w:val="60D02DD7"/>
    <w:rsid w:val="60F43378"/>
    <w:rsid w:val="61861C8A"/>
    <w:rsid w:val="618A3926"/>
    <w:rsid w:val="61A42A3F"/>
    <w:rsid w:val="61B24813"/>
    <w:rsid w:val="61B5082C"/>
    <w:rsid w:val="61B55E1A"/>
    <w:rsid w:val="61D74E77"/>
    <w:rsid w:val="61EB46E6"/>
    <w:rsid w:val="61F07553"/>
    <w:rsid w:val="61FB01FF"/>
    <w:rsid w:val="621009CD"/>
    <w:rsid w:val="62312A9A"/>
    <w:rsid w:val="62541D3C"/>
    <w:rsid w:val="62854B94"/>
    <w:rsid w:val="628E1C9B"/>
    <w:rsid w:val="62A47C05"/>
    <w:rsid w:val="62A54922"/>
    <w:rsid w:val="62B028B0"/>
    <w:rsid w:val="62C41F5B"/>
    <w:rsid w:val="62E82CFB"/>
    <w:rsid w:val="62EF28C3"/>
    <w:rsid w:val="630A2A8D"/>
    <w:rsid w:val="631704B8"/>
    <w:rsid w:val="63464497"/>
    <w:rsid w:val="63485E7F"/>
    <w:rsid w:val="63973268"/>
    <w:rsid w:val="63B664A5"/>
    <w:rsid w:val="63F91396"/>
    <w:rsid w:val="63FC2C34"/>
    <w:rsid w:val="640535CC"/>
    <w:rsid w:val="640A7894"/>
    <w:rsid w:val="644C6A58"/>
    <w:rsid w:val="64D8745E"/>
    <w:rsid w:val="64E37662"/>
    <w:rsid w:val="65177204"/>
    <w:rsid w:val="651A39E3"/>
    <w:rsid w:val="654A5D4D"/>
    <w:rsid w:val="65896749"/>
    <w:rsid w:val="65A33BC9"/>
    <w:rsid w:val="65B6730B"/>
    <w:rsid w:val="65D80B7E"/>
    <w:rsid w:val="65D976D1"/>
    <w:rsid w:val="65DF3071"/>
    <w:rsid w:val="65EE0536"/>
    <w:rsid w:val="65F36280"/>
    <w:rsid w:val="66162066"/>
    <w:rsid w:val="66375444"/>
    <w:rsid w:val="664957C4"/>
    <w:rsid w:val="664D4DF7"/>
    <w:rsid w:val="665953FA"/>
    <w:rsid w:val="667660BC"/>
    <w:rsid w:val="66804199"/>
    <w:rsid w:val="668862A6"/>
    <w:rsid w:val="66AA5D1D"/>
    <w:rsid w:val="66B118BF"/>
    <w:rsid w:val="66BA4C99"/>
    <w:rsid w:val="66BB66D5"/>
    <w:rsid w:val="66DF6B53"/>
    <w:rsid w:val="6714293E"/>
    <w:rsid w:val="67337752"/>
    <w:rsid w:val="673F1CCD"/>
    <w:rsid w:val="67530E2D"/>
    <w:rsid w:val="67676AC3"/>
    <w:rsid w:val="676B04F2"/>
    <w:rsid w:val="67717707"/>
    <w:rsid w:val="67A506F0"/>
    <w:rsid w:val="67B266A1"/>
    <w:rsid w:val="67B50FF4"/>
    <w:rsid w:val="67BD23F3"/>
    <w:rsid w:val="67E04F8B"/>
    <w:rsid w:val="680E7E00"/>
    <w:rsid w:val="6815721D"/>
    <w:rsid w:val="681744E0"/>
    <w:rsid w:val="684A6664"/>
    <w:rsid w:val="685928AB"/>
    <w:rsid w:val="68BD1F56"/>
    <w:rsid w:val="68D82018"/>
    <w:rsid w:val="68EE5F4B"/>
    <w:rsid w:val="68FA0C86"/>
    <w:rsid w:val="690B301D"/>
    <w:rsid w:val="691B6F1A"/>
    <w:rsid w:val="692331E0"/>
    <w:rsid w:val="69237CE8"/>
    <w:rsid w:val="6932510A"/>
    <w:rsid w:val="698473B2"/>
    <w:rsid w:val="69847EB6"/>
    <w:rsid w:val="698536CB"/>
    <w:rsid w:val="69C762AC"/>
    <w:rsid w:val="69CE6133"/>
    <w:rsid w:val="69DD3677"/>
    <w:rsid w:val="69E051E7"/>
    <w:rsid w:val="69F74EE3"/>
    <w:rsid w:val="6A2130C2"/>
    <w:rsid w:val="6A403A60"/>
    <w:rsid w:val="6A4F4353"/>
    <w:rsid w:val="6AAB3D7C"/>
    <w:rsid w:val="6ABE2BE5"/>
    <w:rsid w:val="6AD20B92"/>
    <w:rsid w:val="6AE43C02"/>
    <w:rsid w:val="6AE8132F"/>
    <w:rsid w:val="6AEC3FBA"/>
    <w:rsid w:val="6B0D5FB3"/>
    <w:rsid w:val="6B367A3D"/>
    <w:rsid w:val="6B4044BB"/>
    <w:rsid w:val="6B560971"/>
    <w:rsid w:val="6B757317"/>
    <w:rsid w:val="6B985DA0"/>
    <w:rsid w:val="6BAE0FAB"/>
    <w:rsid w:val="6BE20F3D"/>
    <w:rsid w:val="6C0C3D0E"/>
    <w:rsid w:val="6C147C5F"/>
    <w:rsid w:val="6C192858"/>
    <w:rsid w:val="6C2C6791"/>
    <w:rsid w:val="6C3D518F"/>
    <w:rsid w:val="6C5643CF"/>
    <w:rsid w:val="6C60046D"/>
    <w:rsid w:val="6C73229B"/>
    <w:rsid w:val="6C8E2897"/>
    <w:rsid w:val="6CE961C7"/>
    <w:rsid w:val="6D200555"/>
    <w:rsid w:val="6D261771"/>
    <w:rsid w:val="6D372C4E"/>
    <w:rsid w:val="6D5238C5"/>
    <w:rsid w:val="6D5345F7"/>
    <w:rsid w:val="6D62756A"/>
    <w:rsid w:val="6D793B62"/>
    <w:rsid w:val="6D8F6721"/>
    <w:rsid w:val="6D940381"/>
    <w:rsid w:val="6DA25281"/>
    <w:rsid w:val="6DD24966"/>
    <w:rsid w:val="6DD62748"/>
    <w:rsid w:val="6DE05E64"/>
    <w:rsid w:val="6E0F1686"/>
    <w:rsid w:val="6E1A3A5E"/>
    <w:rsid w:val="6E331016"/>
    <w:rsid w:val="6E714EEA"/>
    <w:rsid w:val="6E733117"/>
    <w:rsid w:val="6EA17F87"/>
    <w:rsid w:val="6EE33E91"/>
    <w:rsid w:val="6F3749D9"/>
    <w:rsid w:val="6F3A6288"/>
    <w:rsid w:val="6F3D2DDE"/>
    <w:rsid w:val="6F5223D3"/>
    <w:rsid w:val="6F8A1237"/>
    <w:rsid w:val="6F8C215C"/>
    <w:rsid w:val="6FF4085E"/>
    <w:rsid w:val="700E2F96"/>
    <w:rsid w:val="703E7E88"/>
    <w:rsid w:val="70A02B99"/>
    <w:rsid w:val="70C21F14"/>
    <w:rsid w:val="70CB641B"/>
    <w:rsid w:val="70E44B1C"/>
    <w:rsid w:val="715870DD"/>
    <w:rsid w:val="715F5EE1"/>
    <w:rsid w:val="715F6CA2"/>
    <w:rsid w:val="71613870"/>
    <w:rsid w:val="71717835"/>
    <w:rsid w:val="71843D9D"/>
    <w:rsid w:val="71A31FB4"/>
    <w:rsid w:val="71C910FD"/>
    <w:rsid w:val="71D376CA"/>
    <w:rsid w:val="72252D4F"/>
    <w:rsid w:val="722F5EB0"/>
    <w:rsid w:val="72A2423A"/>
    <w:rsid w:val="72B106FE"/>
    <w:rsid w:val="72BF29F5"/>
    <w:rsid w:val="72CB7D60"/>
    <w:rsid w:val="730534FB"/>
    <w:rsid w:val="73143169"/>
    <w:rsid w:val="73271B0B"/>
    <w:rsid w:val="7356013A"/>
    <w:rsid w:val="736E6A12"/>
    <w:rsid w:val="737D3A52"/>
    <w:rsid w:val="7385512F"/>
    <w:rsid w:val="73C739E7"/>
    <w:rsid w:val="73D64C98"/>
    <w:rsid w:val="73DF3785"/>
    <w:rsid w:val="74303A13"/>
    <w:rsid w:val="744B1D62"/>
    <w:rsid w:val="745F52CF"/>
    <w:rsid w:val="74855EDD"/>
    <w:rsid w:val="74C91279"/>
    <w:rsid w:val="74E81D42"/>
    <w:rsid w:val="753A6C4E"/>
    <w:rsid w:val="758B6ABD"/>
    <w:rsid w:val="75A5083B"/>
    <w:rsid w:val="75E751B3"/>
    <w:rsid w:val="75E77C87"/>
    <w:rsid w:val="75FC4CD8"/>
    <w:rsid w:val="761563F3"/>
    <w:rsid w:val="76371FD0"/>
    <w:rsid w:val="76980DCB"/>
    <w:rsid w:val="76B71518"/>
    <w:rsid w:val="76ED4304"/>
    <w:rsid w:val="76F12191"/>
    <w:rsid w:val="76F15C5D"/>
    <w:rsid w:val="76FF0CB6"/>
    <w:rsid w:val="770C1770"/>
    <w:rsid w:val="773E2F3B"/>
    <w:rsid w:val="775334E8"/>
    <w:rsid w:val="77555FB1"/>
    <w:rsid w:val="77702001"/>
    <w:rsid w:val="7776173E"/>
    <w:rsid w:val="77B956AB"/>
    <w:rsid w:val="77D203AB"/>
    <w:rsid w:val="77D44A90"/>
    <w:rsid w:val="78006D3F"/>
    <w:rsid w:val="784C3D32"/>
    <w:rsid w:val="788963DC"/>
    <w:rsid w:val="78A95020"/>
    <w:rsid w:val="78CB5F85"/>
    <w:rsid w:val="78DE4805"/>
    <w:rsid w:val="791E5245"/>
    <w:rsid w:val="79323F7F"/>
    <w:rsid w:val="79423099"/>
    <w:rsid w:val="799F4335"/>
    <w:rsid w:val="79BC3424"/>
    <w:rsid w:val="79CC57B6"/>
    <w:rsid w:val="79D11CDD"/>
    <w:rsid w:val="7A3711E9"/>
    <w:rsid w:val="7A3C7EC1"/>
    <w:rsid w:val="7A460355"/>
    <w:rsid w:val="7A747C3C"/>
    <w:rsid w:val="7A7F7A8F"/>
    <w:rsid w:val="7A9A66E5"/>
    <w:rsid w:val="7AD56641"/>
    <w:rsid w:val="7ADD4692"/>
    <w:rsid w:val="7AE702AC"/>
    <w:rsid w:val="7AF73616"/>
    <w:rsid w:val="7B156BE2"/>
    <w:rsid w:val="7B202ADA"/>
    <w:rsid w:val="7B6E2211"/>
    <w:rsid w:val="7B8229DD"/>
    <w:rsid w:val="7B8D4C9D"/>
    <w:rsid w:val="7BC54D84"/>
    <w:rsid w:val="7BC64250"/>
    <w:rsid w:val="7BDC361F"/>
    <w:rsid w:val="7BE42D84"/>
    <w:rsid w:val="7BE44282"/>
    <w:rsid w:val="7C0419A7"/>
    <w:rsid w:val="7C16691A"/>
    <w:rsid w:val="7C375BB0"/>
    <w:rsid w:val="7C4030B6"/>
    <w:rsid w:val="7C4952A4"/>
    <w:rsid w:val="7C4D22B5"/>
    <w:rsid w:val="7C9909BA"/>
    <w:rsid w:val="7CA47FD3"/>
    <w:rsid w:val="7CB66753"/>
    <w:rsid w:val="7CC76F1C"/>
    <w:rsid w:val="7D356573"/>
    <w:rsid w:val="7D405C23"/>
    <w:rsid w:val="7D7653AD"/>
    <w:rsid w:val="7DA12453"/>
    <w:rsid w:val="7DCA0BA7"/>
    <w:rsid w:val="7DF00EE4"/>
    <w:rsid w:val="7E271CAB"/>
    <w:rsid w:val="7E2E3C45"/>
    <w:rsid w:val="7E431733"/>
    <w:rsid w:val="7E631DD5"/>
    <w:rsid w:val="7E636915"/>
    <w:rsid w:val="7E711BA4"/>
    <w:rsid w:val="7E7372D2"/>
    <w:rsid w:val="7F004ECA"/>
    <w:rsid w:val="7F2132BF"/>
    <w:rsid w:val="7F3472CE"/>
    <w:rsid w:val="7F6C188F"/>
    <w:rsid w:val="7F8C1E7A"/>
    <w:rsid w:val="7F967F89"/>
    <w:rsid w:val="7FA35F56"/>
    <w:rsid w:val="7FDF36DE"/>
    <w:rsid w:val="7FF969D0"/>
    <w:rsid w:val="7FFD1DB6"/>
    <w:rsid w:val="7FFD1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88"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38"/>
    <w:qFormat/>
    <w:uiPriority w:val="9"/>
    <w:pPr>
      <w:keepNext/>
      <w:keepLines/>
      <w:spacing w:before="360" w:after="40" w:line="240" w:lineRule="auto"/>
      <w:outlineLvl w:val="0"/>
    </w:pPr>
    <w:rPr>
      <w:rFonts w:asciiTheme="majorHAnsi" w:hAnsiTheme="majorHAnsi" w:eastAsiaTheme="majorEastAsia" w:cstheme="majorBidi"/>
      <w:color w:val="7E9632" w:themeColor="accent6" w:themeShade="BF"/>
      <w:sz w:val="40"/>
      <w:szCs w:val="40"/>
    </w:rPr>
  </w:style>
  <w:style w:type="paragraph" w:styleId="3">
    <w:name w:val="heading 2"/>
    <w:basedOn w:val="1"/>
    <w:next w:val="1"/>
    <w:link w:val="50"/>
    <w:semiHidden/>
    <w:unhideWhenUsed/>
    <w:qFormat/>
    <w:uiPriority w:val="9"/>
    <w:pPr>
      <w:keepNext/>
      <w:keepLines/>
      <w:spacing w:before="80" w:after="0" w:line="240" w:lineRule="auto"/>
      <w:outlineLvl w:val="1"/>
    </w:pPr>
    <w:rPr>
      <w:rFonts w:asciiTheme="majorHAnsi" w:hAnsiTheme="majorHAnsi" w:eastAsiaTheme="majorEastAsia" w:cstheme="majorBidi"/>
      <w:color w:val="7E9632" w:themeColor="accent6" w:themeShade="BF"/>
      <w:sz w:val="28"/>
      <w:szCs w:val="28"/>
    </w:rPr>
  </w:style>
  <w:style w:type="paragraph" w:styleId="4">
    <w:name w:val="heading 3"/>
    <w:basedOn w:val="1"/>
    <w:next w:val="1"/>
    <w:link w:val="51"/>
    <w:semiHidden/>
    <w:unhideWhenUsed/>
    <w:qFormat/>
    <w:uiPriority w:val="9"/>
    <w:pPr>
      <w:keepNext/>
      <w:keepLines/>
      <w:spacing w:before="80" w:after="0" w:line="240" w:lineRule="auto"/>
      <w:outlineLvl w:val="2"/>
    </w:pPr>
    <w:rPr>
      <w:rFonts w:asciiTheme="majorHAnsi" w:hAnsiTheme="majorHAnsi" w:eastAsiaTheme="majorEastAsia" w:cstheme="majorBidi"/>
      <w:color w:val="7E9632" w:themeColor="accent6" w:themeShade="BF"/>
      <w:sz w:val="24"/>
      <w:szCs w:val="24"/>
    </w:rPr>
  </w:style>
  <w:style w:type="paragraph" w:styleId="5">
    <w:name w:val="heading 4"/>
    <w:basedOn w:val="1"/>
    <w:next w:val="1"/>
    <w:link w:val="52"/>
    <w:semiHidden/>
    <w:unhideWhenUsed/>
    <w:qFormat/>
    <w:uiPriority w:val="9"/>
    <w:pPr>
      <w:keepNext/>
      <w:keepLines/>
      <w:spacing w:before="80" w:after="0"/>
      <w:outlineLvl w:val="3"/>
    </w:pPr>
    <w:rPr>
      <w:rFonts w:asciiTheme="majorHAnsi" w:hAnsiTheme="majorHAnsi" w:eastAsiaTheme="majorEastAsia" w:cstheme="majorBidi"/>
      <w:color w:val="A5C249" w:themeColor="accent6"/>
      <w:sz w:val="22"/>
      <w:szCs w:val="22"/>
      <w14:textFill>
        <w14:solidFill>
          <w14:schemeClr w14:val="accent6"/>
        </w14:solidFill>
      </w14:textFill>
    </w:rPr>
  </w:style>
  <w:style w:type="paragraph" w:styleId="6">
    <w:name w:val="heading 5"/>
    <w:basedOn w:val="1"/>
    <w:next w:val="1"/>
    <w:link w:val="53"/>
    <w:semiHidden/>
    <w:unhideWhenUsed/>
    <w:qFormat/>
    <w:uiPriority w:val="9"/>
    <w:pPr>
      <w:keepNext/>
      <w:keepLines/>
      <w:spacing w:before="40" w:after="0"/>
      <w:outlineLvl w:val="4"/>
    </w:pPr>
    <w:rPr>
      <w:rFonts w:asciiTheme="majorHAnsi" w:hAnsiTheme="majorHAnsi" w:eastAsiaTheme="majorEastAsia" w:cstheme="majorBidi"/>
      <w:i/>
      <w:iCs/>
      <w:color w:val="A5C249" w:themeColor="accent6"/>
      <w:sz w:val="22"/>
      <w:szCs w:val="22"/>
      <w14:textFill>
        <w14:solidFill>
          <w14:schemeClr w14:val="accent6"/>
        </w14:solidFill>
      </w14:textFill>
    </w:rPr>
  </w:style>
  <w:style w:type="paragraph" w:styleId="7">
    <w:name w:val="heading 6"/>
    <w:basedOn w:val="1"/>
    <w:next w:val="1"/>
    <w:link w:val="54"/>
    <w:semiHidden/>
    <w:unhideWhenUsed/>
    <w:qFormat/>
    <w:uiPriority w:val="9"/>
    <w:pPr>
      <w:keepNext/>
      <w:keepLines/>
      <w:spacing w:before="40" w:after="0"/>
      <w:outlineLvl w:val="5"/>
    </w:pPr>
    <w:rPr>
      <w:rFonts w:asciiTheme="majorHAnsi" w:hAnsiTheme="majorHAnsi" w:eastAsiaTheme="majorEastAsia" w:cstheme="majorBidi"/>
      <w:color w:val="A5C249" w:themeColor="accent6"/>
      <w14:textFill>
        <w14:solidFill>
          <w14:schemeClr w14:val="accent6"/>
        </w14:solidFill>
      </w14:textFill>
    </w:rPr>
  </w:style>
  <w:style w:type="paragraph" w:styleId="8">
    <w:name w:val="heading 7"/>
    <w:basedOn w:val="1"/>
    <w:next w:val="1"/>
    <w:link w:val="55"/>
    <w:semiHidden/>
    <w:unhideWhenUsed/>
    <w:qFormat/>
    <w:uiPriority w:val="9"/>
    <w:pPr>
      <w:keepNext/>
      <w:keepLines/>
      <w:spacing w:before="40" w:after="0"/>
      <w:outlineLvl w:val="6"/>
    </w:pPr>
    <w:rPr>
      <w:rFonts w:asciiTheme="majorHAnsi" w:hAnsiTheme="majorHAnsi" w:eastAsiaTheme="majorEastAsia" w:cstheme="majorBidi"/>
      <w:b/>
      <w:bCs/>
      <w:color w:val="A5C249" w:themeColor="accent6"/>
      <w14:textFill>
        <w14:solidFill>
          <w14:schemeClr w14:val="accent6"/>
        </w14:solidFill>
      </w14:textFill>
    </w:rPr>
  </w:style>
  <w:style w:type="paragraph" w:styleId="9">
    <w:name w:val="heading 8"/>
    <w:basedOn w:val="1"/>
    <w:next w:val="1"/>
    <w:link w:val="56"/>
    <w:semiHidden/>
    <w:unhideWhenUsed/>
    <w:qFormat/>
    <w:uiPriority w:val="9"/>
    <w:pPr>
      <w:keepNext/>
      <w:keepLines/>
      <w:spacing w:before="40" w:after="0"/>
      <w:outlineLvl w:val="7"/>
    </w:pPr>
    <w:rPr>
      <w:rFonts w:asciiTheme="majorHAnsi" w:hAnsiTheme="majorHAnsi" w:eastAsiaTheme="majorEastAsia" w:cstheme="majorBidi"/>
      <w:b/>
      <w:bCs/>
      <w:i/>
      <w:iCs/>
      <w:color w:val="A5C249" w:themeColor="accent6"/>
      <w:sz w:val="20"/>
      <w:szCs w:val="20"/>
      <w14:textFill>
        <w14:solidFill>
          <w14:schemeClr w14:val="accent6"/>
        </w14:solidFill>
      </w14:textFill>
    </w:rPr>
  </w:style>
  <w:style w:type="paragraph" w:styleId="10">
    <w:name w:val="heading 9"/>
    <w:basedOn w:val="1"/>
    <w:next w:val="1"/>
    <w:link w:val="57"/>
    <w:semiHidden/>
    <w:unhideWhenUsed/>
    <w:qFormat/>
    <w:uiPriority w:val="9"/>
    <w:pPr>
      <w:keepNext/>
      <w:keepLines/>
      <w:spacing w:before="40" w:after="0"/>
      <w:outlineLvl w:val="8"/>
    </w:pPr>
    <w:rPr>
      <w:rFonts w:asciiTheme="majorHAnsi" w:hAnsiTheme="majorHAnsi" w:eastAsiaTheme="majorEastAsia" w:cstheme="majorBidi"/>
      <w:i/>
      <w:iCs/>
      <w:color w:val="A5C249" w:themeColor="accent6"/>
      <w:sz w:val="20"/>
      <w:szCs w:val="20"/>
      <w14:textFill>
        <w14:solidFill>
          <w14:schemeClr w14:val="accent6"/>
        </w14:solidFill>
      </w14:textFill>
    </w:rPr>
  </w:style>
  <w:style w:type="character" w:default="1" w:styleId="26">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smallCaps/>
      <w:color w:val="595959" w:themeColor="text1" w:themeTint="A6"/>
      <w14:textFill>
        <w14:solidFill>
          <w14:schemeClr w14:val="tx1">
            <w14:lumMod w14:val="65000"/>
            <w14:lumOff w14:val="35000"/>
          </w14:schemeClr>
        </w14:solidFill>
      </w14:textFill>
    </w:rPr>
  </w:style>
  <w:style w:type="paragraph" w:styleId="12">
    <w:name w:val="annotation text"/>
    <w:basedOn w:val="1"/>
    <w:unhideWhenUsed/>
    <w:qFormat/>
    <w:uiPriority w:val="99"/>
  </w:style>
  <w:style w:type="paragraph" w:styleId="13">
    <w:name w:val="toc 3"/>
    <w:basedOn w:val="1"/>
    <w:next w:val="1"/>
    <w:unhideWhenUsed/>
    <w:qFormat/>
    <w:uiPriority w:val="39"/>
    <w:pPr>
      <w:spacing w:after="100" w:line="276" w:lineRule="auto"/>
      <w:ind w:left="440"/>
    </w:pPr>
  </w:style>
  <w:style w:type="paragraph" w:styleId="14">
    <w:name w:val="Balloon Text"/>
    <w:basedOn w:val="1"/>
    <w:link w:val="37"/>
    <w:unhideWhenUsed/>
    <w:qFormat/>
    <w:uiPriority w:val="99"/>
    <w:pPr>
      <w:spacing w:after="0"/>
    </w:pPr>
    <w:rPr>
      <w:sz w:val="18"/>
      <w:szCs w:val="18"/>
    </w:rPr>
  </w:style>
  <w:style w:type="paragraph" w:styleId="15">
    <w:name w:val="footer"/>
    <w:basedOn w:val="1"/>
    <w:link w:val="35"/>
    <w:unhideWhenUsed/>
    <w:qFormat/>
    <w:uiPriority w:val="99"/>
    <w:pPr>
      <w:tabs>
        <w:tab w:val="center" w:pos="4153"/>
        <w:tab w:val="right" w:pos="8306"/>
      </w:tabs>
    </w:pPr>
    <w:rPr>
      <w:sz w:val="18"/>
      <w:szCs w:val="18"/>
    </w:rPr>
  </w:style>
  <w:style w:type="paragraph" w:styleId="16">
    <w:name w:val="header"/>
    <w:basedOn w:val="1"/>
    <w:link w:val="34"/>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8"/>
    <w:next w:val="18"/>
    <w:link w:val="40"/>
    <w:unhideWhenUsed/>
    <w:qFormat/>
    <w:uiPriority w:val="39"/>
    <w:pPr>
      <w:tabs>
        <w:tab w:val="right" w:leader="dot" w:pos="8296"/>
      </w:tabs>
      <w:spacing w:before="120" w:after="220" w:line="276" w:lineRule="auto"/>
      <w:ind w:firstLine="643"/>
    </w:pPr>
    <w:rPr>
      <w:rFonts w:asciiTheme="minorEastAsia" w:hAnsiTheme="minorEastAsia"/>
      <w:sz w:val="24"/>
      <w:szCs w:val="28"/>
    </w:rPr>
  </w:style>
  <w:style w:type="paragraph" w:customStyle="1" w:styleId="18">
    <w:name w:val="无间隔1"/>
    <w:link w:val="36"/>
    <w:qFormat/>
    <w:uiPriority w:val="1"/>
    <w:pPr>
      <w:spacing w:after="200" w:line="288" w:lineRule="auto"/>
    </w:pPr>
    <w:rPr>
      <w:rFonts w:asciiTheme="minorHAnsi" w:hAnsiTheme="minorHAnsi" w:eastAsiaTheme="minorEastAsia" w:cstheme="minorBidi"/>
      <w:sz w:val="22"/>
      <w:szCs w:val="22"/>
      <w:lang w:val="en-US" w:eastAsia="zh-CN" w:bidi="ar-SA"/>
    </w:rPr>
  </w:style>
  <w:style w:type="paragraph" w:styleId="19">
    <w:name w:val="Subtitle"/>
    <w:basedOn w:val="1"/>
    <w:next w:val="1"/>
    <w:link w:val="59"/>
    <w:qFormat/>
    <w:uiPriority w:val="11"/>
    <w:pPr>
      <w:spacing w:line="240" w:lineRule="auto"/>
    </w:pPr>
    <w:rPr>
      <w:rFonts w:asciiTheme="majorHAnsi" w:hAnsiTheme="majorHAnsi" w:eastAsiaTheme="majorEastAsia" w:cstheme="majorBidi"/>
      <w:sz w:val="30"/>
      <w:szCs w:val="30"/>
    </w:rPr>
  </w:style>
  <w:style w:type="paragraph" w:styleId="20">
    <w:name w:val="footnote text"/>
    <w:basedOn w:val="1"/>
    <w:link w:val="49"/>
    <w:unhideWhenUsed/>
    <w:qFormat/>
    <w:uiPriority w:val="99"/>
    <w:rPr>
      <w:sz w:val="18"/>
    </w:rPr>
  </w:style>
  <w:style w:type="paragraph" w:styleId="21">
    <w:name w:val="toc 2"/>
    <w:basedOn w:val="1"/>
    <w:next w:val="1"/>
    <w:unhideWhenUsed/>
    <w:qFormat/>
    <w:uiPriority w:val="39"/>
    <w:pPr>
      <w:spacing w:after="100" w:line="276" w:lineRule="auto"/>
      <w:ind w:left="220"/>
    </w:pPr>
  </w:style>
  <w:style w:type="paragraph" w:styleId="22">
    <w:name w:val="Normal (Web)"/>
    <w:basedOn w:val="1"/>
    <w:unhideWhenUsed/>
    <w:qFormat/>
    <w:uiPriority w:val="99"/>
    <w:pPr>
      <w:spacing w:after="0"/>
    </w:pPr>
    <w:rPr>
      <w:rFonts w:ascii="宋体" w:hAnsi="宋体" w:eastAsia="宋体" w:cs="宋体"/>
      <w:color w:val="000000"/>
      <w:sz w:val="18"/>
      <w:szCs w:val="18"/>
    </w:rPr>
  </w:style>
  <w:style w:type="paragraph" w:styleId="23">
    <w:name w:val="Title"/>
    <w:basedOn w:val="1"/>
    <w:next w:val="1"/>
    <w:link w:val="58"/>
    <w:qFormat/>
    <w:uiPriority w:val="10"/>
    <w:pPr>
      <w:spacing w:after="0" w:line="240" w:lineRule="auto"/>
      <w:contextualSpacing/>
    </w:pPr>
    <w:rPr>
      <w:rFonts w:asciiTheme="majorHAnsi" w:hAnsiTheme="majorHAnsi" w:eastAsiaTheme="majorEastAsia" w:cstheme="majorBidi"/>
      <w:color w:val="262626" w:themeColor="text1" w:themeTint="D9"/>
      <w:spacing w:val="-15"/>
      <w:sz w:val="96"/>
      <w:szCs w:val="96"/>
      <w14:textFill>
        <w14:solidFill>
          <w14:schemeClr w14:val="tx1">
            <w14:lumMod w14:val="85000"/>
            <w14:lumOff w14:val="15000"/>
          </w14:schemeClr>
        </w14:solidFill>
      </w14:textFill>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7">
    <w:name w:val="Strong"/>
    <w:basedOn w:val="26"/>
    <w:qFormat/>
    <w:uiPriority w:val="22"/>
    <w:rPr>
      <w:b/>
      <w:bCs/>
    </w:rPr>
  </w:style>
  <w:style w:type="character" w:styleId="28">
    <w:name w:val="FollowedHyperlink"/>
    <w:basedOn w:val="26"/>
    <w:unhideWhenUsed/>
    <w:qFormat/>
    <w:uiPriority w:val="99"/>
    <w:rPr>
      <w:color w:val="333333"/>
      <w:u w:val="none"/>
    </w:rPr>
  </w:style>
  <w:style w:type="character" w:styleId="29">
    <w:name w:val="Emphasis"/>
    <w:basedOn w:val="26"/>
    <w:qFormat/>
    <w:uiPriority w:val="20"/>
    <w:rPr>
      <w:i/>
      <w:iCs/>
      <w:color w:val="A5C249" w:themeColor="accent6"/>
      <w14:textFill>
        <w14:solidFill>
          <w14:schemeClr w14:val="accent6"/>
        </w14:solidFill>
      </w14:textFill>
    </w:rPr>
  </w:style>
  <w:style w:type="character" w:styleId="30">
    <w:name w:val="line number"/>
    <w:basedOn w:val="26"/>
    <w:unhideWhenUsed/>
    <w:qFormat/>
    <w:uiPriority w:val="99"/>
  </w:style>
  <w:style w:type="character" w:styleId="31">
    <w:name w:val="Hyperlink"/>
    <w:basedOn w:val="26"/>
    <w:unhideWhenUsed/>
    <w:qFormat/>
    <w:uiPriority w:val="99"/>
    <w:rPr>
      <w:color w:val="F49100" w:themeColor="hyperlink"/>
      <w:u w:val="single"/>
      <w14:textFill>
        <w14:solidFill>
          <w14:schemeClr w14:val="hlink"/>
        </w14:solidFill>
      </w14:textFill>
    </w:rPr>
  </w:style>
  <w:style w:type="character" w:styleId="32">
    <w:name w:val="footnote reference"/>
    <w:basedOn w:val="26"/>
    <w:unhideWhenUsed/>
    <w:qFormat/>
    <w:uiPriority w:val="99"/>
    <w:rPr>
      <w:vertAlign w:val="superscript"/>
    </w:rPr>
  </w:style>
  <w:style w:type="paragraph" w:customStyle="1" w:styleId="33">
    <w:name w:val="列出段落1"/>
    <w:basedOn w:val="1"/>
    <w:qFormat/>
    <w:uiPriority w:val="34"/>
    <w:pPr>
      <w:ind w:firstLine="420" w:firstLineChars="200"/>
    </w:pPr>
  </w:style>
  <w:style w:type="character" w:customStyle="1" w:styleId="34">
    <w:name w:val="页眉 字符"/>
    <w:basedOn w:val="26"/>
    <w:link w:val="16"/>
    <w:qFormat/>
    <w:uiPriority w:val="99"/>
    <w:rPr>
      <w:rFonts w:ascii="Tahoma" w:hAnsi="Tahoma"/>
      <w:sz w:val="18"/>
      <w:szCs w:val="18"/>
    </w:rPr>
  </w:style>
  <w:style w:type="character" w:customStyle="1" w:styleId="35">
    <w:name w:val="页脚 字符"/>
    <w:basedOn w:val="26"/>
    <w:link w:val="15"/>
    <w:qFormat/>
    <w:uiPriority w:val="99"/>
    <w:rPr>
      <w:rFonts w:ascii="Tahoma" w:hAnsi="Tahoma"/>
      <w:sz w:val="18"/>
      <w:szCs w:val="18"/>
    </w:rPr>
  </w:style>
  <w:style w:type="character" w:customStyle="1" w:styleId="36">
    <w:name w:val="无间隔 Char"/>
    <w:basedOn w:val="26"/>
    <w:link w:val="18"/>
    <w:qFormat/>
    <w:uiPriority w:val="1"/>
    <w:rPr>
      <w:rFonts w:eastAsiaTheme="minorEastAsia"/>
    </w:rPr>
  </w:style>
  <w:style w:type="character" w:customStyle="1" w:styleId="37">
    <w:name w:val="批注框文本 字符"/>
    <w:basedOn w:val="26"/>
    <w:link w:val="14"/>
    <w:semiHidden/>
    <w:qFormat/>
    <w:uiPriority w:val="99"/>
    <w:rPr>
      <w:rFonts w:ascii="Tahoma" w:hAnsi="Tahoma"/>
      <w:sz w:val="18"/>
      <w:szCs w:val="18"/>
    </w:rPr>
  </w:style>
  <w:style w:type="character" w:customStyle="1" w:styleId="38">
    <w:name w:val="标题 1 字符"/>
    <w:basedOn w:val="26"/>
    <w:link w:val="2"/>
    <w:qFormat/>
    <w:uiPriority w:val="9"/>
    <w:rPr>
      <w:rFonts w:asciiTheme="majorHAnsi" w:hAnsiTheme="majorHAnsi" w:eastAsiaTheme="majorEastAsia" w:cstheme="majorBidi"/>
      <w:color w:val="7E9632" w:themeColor="accent6" w:themeShade="BF"/>
      <w:sz w:val="40"/>
      <w:szCs w:val="40"/>
    </w:rPr>
  </w:style>
  <w:style w:type="paragraph" w:customStyle="1" w:styleId="39">
    <w:name w:val="TOC 标题1"/>
    <w:basedOn w:val="2"/>
    <w:next w:val="1"/>
    <w:unhideWhenUsed/>
    <w:qFormat/>
    <w:uiPriority w:val="39"/>
    <w:pPr>
      <w:spacing w:before="480" w:after="0" w:line="276" w:lineRule="auto"/>
      <w:outlineLvl w:val="9"/>
    </w:pPr>
    <w:rPr>
      <w:color w:val="0B5395" w:themeColor="accent1" w:themeShade="BF"/>
      <w:sz w:val="28"/>
      <w:szCs w:val="28"/>
    </w:rPr>
  </w:style>
  <w:style w:type="character" w:customStyle="1" w:styleId="40">
    <w:name w:val="TOC 1 字符"/>
    <w:basedOn w:val="36"/>
    <w:link w:val="17"/>
    <w:qFormat/>
    <w:uiPriority w:val="39"/>
    <w:rPr>
      <w:rFonts w:asciiTheme="minorEastAsia" w:hAnsiTheme="minorEastAsia" w:eastAsiaTheme="minorEastAsia"/>
      <w:sz w:val="24"/>
      <w:szCs w:val="28"/>
    </w:rPr>
  </w:style>
  <w:style w:type="paragraph" w:customStyle="1" w:styleId="41">
    <w:name w:val="Char"/>
    <w:basedOn w:val="1"/>
    <w:next w:val="1"/>
    <w:qFormat/>
    <w:uiPriority w:val="0"/>
    <w:pPr>
      <w:spacing w:after="160" w:line="240" w:lineRule="exact"/>
    </w:pPr>
    <w:rPr>
      <w:rFonts w:ascii="Times New Roman" w:hAnsi="Times New Roman" w:eastAsia="宋体" w:cs="Times New Roman"/>
      <w:kern w:val="2"/>
      <w:szCs w:val="20"/>
    </w:rPr>
  </w:style>
  <w:style w:type="paragraph" w:customStyle="1" w:styleId="42">
    <w:name w:val="列出段落2"/>
    <w:basedOn w:val="1"/>
    <w:unhideWhenUsed/>
    <w:qFormat/>
    <w:uiPriority w:val="99"/>
    <w:pPr>
      <w:ind w:firstLine="420" w:firstLineChars="200"/>
    </w:pPr>
  </w:style>
  <w:style w:type="character" w:customStyle="1" w:styleId="43">
    <w:name w:val="disabled"/>
    <w:basedOn w:val="26"/>
    <w:qFormat/>
    <w:uiPriority w:val="0"/>
    <w:rPr>
      <w:color w:val="FFE3C6"/>
      <w:bdr w:val="single" w:color="FFE3C6" w:sz="4" w:space="0"/>
    </w:rPr>
  </w:style>
  <w:style w:type="character" w:customStyle="1" w:styleId="44">
    <w:name w:val="current"/>
    <w:basedOn w:val="26"/>
    <w:qFormat/>
    <w:uiPriority w:val="0"/>
    <w:rPr>
      <w:b/>
      <w:color w:val="FF6500"/>
      <w:bdr w:val="single" w:color="FF6500" w:sz="4" w:space="0"/>
      <w:shd w:val="clear" w:color="auto" w:fill="FFBE94"/>
    </w:rPr>
  </w:style>
  <w:style w:type="character" w:customStyle="1" w:styleId="45">
    <w:name w:val="font41"/>
    <w:basedOn w:val="26"/>
    <w:qFormat/>
    <w:uiPriority w:val="0"/>
    <w:rPr>
      <w:rFonts w:hint="eastAsia" w:ascii="楷体" w:hAnsi="楷体" w:eastAsia="楷体" w:cs="楷体"/>
      <w:color w:val="000000"/>
      <w:sz w:val="20"/>
      <w:szCs w:val="20"/>
      <w:u w:val="none"/>
    </w:rPr>
  </w:style>
  <w:style w:type="character" w:customStyle="1" w:styleId="46">
    <w:name w:val="font21"/>
    <w:basedOn w:val="26"/>
    <w:qFormat/>
    <w:uiPriority w:val="0"/>
    <w:rPr>
      <w:rFonts w:ascii="华文楷体" w:hAnsi="华文楷体" w:eastAsia="华文楷体" w:cs="华文楷体"/>
      <w:color w:val="000000"/>
      <w:sz w:val="20"/>
      <w:szCs w:val="20"/>
      <w:u w:val="none"/>
    </w:rPr>
  </w:style>
  <w:style w:type="character" w:customStyle="1" w:styleId="47">
    <w:name w:val="font11"/>
    <w:basedOn w:val="26"/>
    <w:qFormat/>
    <w:uiPriority w:val="0"/>
    <w:rPr>
      <w:rFonts w:ascii="Arial" w:hAnsi="Arial" w:cs="Arial"/>
      <w:color w:val="000000"/>
      <w:sz w:val="20"/>
      <w:szCs w:val="20"/>
      <w:u w:val="none"/>
    </w:rPr>
  </w:style>
  <w:style w:type="paragraph" w:styleId="48">
    <w:name w:val="List Paragraph"/>
    <w:basedOn w:val="1"/>
    <w:qFormat/>
    <w:uiPriority w:val="34"/>
    <w:pPr>
      <w:ind w:firstLine="420" w:firstLineChars="200"/>
    </w:pPr>
  </w:style>
  <w:style w:type="character" w:customStyle="1" w:styleId="49">
    <w:name w:val="脚注文本 字符"/>
    <w:basedOn w:val="26"/>
    <w:link w:val="20"/>
    <w:qFormat/>
    <w:uiPriority w:val="99"/>
    <w:rPr>
      <w:rFonts w:ascii="Tahoma" w:hAnsi="Tahoma" w:eastAsia="微软雅黑" w:cstheme="minorBidi"/>
      <w:sz w:val="18"/>
      <w:szCs w:val="22"/>
    </w:rPr>
  </w:style>
  <w:style w:type="character" w:customStyle="1" w:styleId="50">
    <w:name w:val="标题 2 字符"/>
    <w:basedOn w:val="26"/>
    <w:link w:val="3"/>
    <w:semiHidden/>
    <w:qFormat/>
    <w:uiPriority w:val="9"/>
    <w:rPr>
      <w:rFonts w:asciiTheme="majorHAnsi" w:hAnsiTheme="majorHAnsi" w:eastAsiaTheme="majorEastAsia" w:cstheme="majorBidi"/>
      <w:color w:val="7E9632" w:themeColor="accent6" w:themeShade="BF"/>
      <w:sz w:val="28"/>
      <w:szCs w:val="28"/>
    </w:rPr>
  </w:style>
  <w:style w:type="character" w:customStyle="1" w:styleId="51">
    <w:name w:val="标题 3 字符"/>
    <w:basedOn w:val="26"/>
    <w:link w:val="4"/>
    <w:semiHidden/>
    <w:qFormat/>
    <w:uiPriority w:val="9"/>
    <w:rPr>
      <w:rFonts w:asciiTheme="majorHAnsi" w:hAnsiTheme="majorHAnsi" w:eastAsiaTheme="majorEastAsia" w:cstheme="majorBidi"/>
      <w:color w:val="7E9632" w:themeColor="accent6" w:themeShade="BF"/>
      <w:sz w:val="24"/>
      <w:szCs w:val="24"/>
    </w:rPr>
  </w:style>
  <w:style w:type="character" w:customStyle="1" w:styleId="52">
    <w:name w:val="标题 4 字符"/>
    <w:basedOn w:val="26"/>
    <w:link w:val="5"/>
    <w:semiHidden/>
    <w:qFormat/>
    <w:uiPriority w:val="9"/>
    <w:rPr>
      <w:rFonts w:asciiTheme="majorHAnsi" w:hAnsiTheme="majorHAnsi" w:eastAsiaTheme="majorEastAsia" w:cstheme="majorBidi"/>
      <w:color w:val="A5C249" w:themeColor="accent6"/>
      <w:sz w:val="22"/>
      <w:szCs w:val="22"/>
      <w14:textFill>
        <w14:solidFill>
          <w14:schemeClr w14:val="accent6"/>
        </w14:solidFill>
      </w14:textFill>
    </w:rPr>
  </w:style>
  <w:style w:type="character" w:customStyle="1" w:styleId="53">
    <w:name w:val="标题 5 字符"/>
    <w:basedOn w:val="26"/>
    <w:link w:val="6"/>
    <w:semiHidden/>
    <w:qFormat/>
    <w:uiPriority w:val="9"/>
    <w:rPr>
      <w:rFonts w:asciiTheme="majorHAnsi" w:hAnsiTheme="majorHAnsi" w:eastAsiaTheme="majorEastAsia" w:cstheme="majorBidi"/>
      <w:i/>
      <w:iCs/>
      <w:color w:val="A5C249" w:themeColor="accent6"/>
      <w:sz w:val="22"/>
      <w:szCs w:val="22"/>
      <w14:textFill>
        <w14:solidFill>
          <w14:schemeClr w14:val="accent6"/>
        </w14:solidFill>
      </w14:textFill>
    </w:rPr>
  </w:style>
  <w:style w:type="character" w:customStyle="1" w:styleId="54">
    <w:name w:val="标题 6 字符"/>
    <w:basedOn w:val="26"/>
    <w:link w:val="7"/>
    <w:semiHidden/>
    <w:qFormat/>
    <w:uiPriority w:val="9"/>
    <w:rPr>
      <w:rFonts w:asciiTheme="majorHAnsi" w:hAnsiTheme="majorHAnsi" w:eastAsiaTheme="majorEastAsia" w:cstheme="majorBidi"/>
      <w:color w:val="A5C249" w:themeColor="accent6"/>
      <w14:textFill>
        <w14:solidFill>
          <w14:schemeClr w14:val="accent6"/>
        </w14:solidFill>
      </w14:textFill>
    </w:rPr>
  </w:style>
  <w:style w:type="character" w:customStyle="1" w:styleId="55">
    <w:name w:val="标题 7 字符"/>
    <w:basedOn w:val="26"/>
    <w:link w:val="8"/>
    <w:semiHidden/>
    <w:qFormat/>
    <w:uiPriority w:val="9"/>
    <w:rPr>
      <w:rFonts w:asciiTheme="majorHAnsi" w:hAnsiTheme="majorHAnsi" w:eastAsiaTheme="majorEastAsia" w:cstheme="majorBidi"/>
      <w:b/>
      <w:bCs/>
      <w:color w:val="A5C249" w:themeColor="accent6"/>
      <w14:textFill>
        <w14:solidFill>
          <w14:schemeClr w14:val="accent6"/>
        </w14:solidFill>
      </w14:textFill>
    </w:rPr>
  </w:style>
  <w:style w:type="character" w:customStyle="1" w:styleId="56">
    <w:name w:val="标题 8 字符"/>
    <w:basedOn w:val="26"/>
    <w:link w:val="9"/>
    <w:semiHidden/>
    <w:qFormat/>
    <w:uiPriority w:val="9"/>
    <w:rPr>
      <w:rFonts w:asciiTheme="majorHAnsi" w:hAnsiTheme="majorHAnsi" w:eastAsiaTheme="majorEastAsia" w:cstheme="majorBidi"/>
      <w:b/>
      <w:bCs/>
      <w:i/>
      <w:iCs/>
      <w:color w:val="A5C249" w:themeColor="accent6"/>
      <w:sz w:val="20"/>
      <w:szCs w:val="20"/>
      <w14:textFill>
        <w14:solidFill>
          <w14:schemeClr w14:val="accent6"/>
        </w14:solidFill>
      </w14:textFill>
    </w:rPr>
  </w:style>
  <w:style w:type="character" w:customStyle="1" w:styleId="57">
    <w:name w:val="标题 9 字符"/>
    <w:basedOn w:val="26"/>
    <w:link w:val="10"/>
    <w:semiHidden/>
    <w:qFormat/>
    <w:uiPriority w:val="9"/>
    <w:rPr>
      <w:rFonts w:asciiTheme="majorHAnsi" w:hAnsiTheme="majorHAnsi" w:eastAsiaTheme="majorEastAsia" w:cstheme="majorBidi"/>
      <w:i/>
      <w:iCs/>
      <w:color w:val="A5C249" w:themeColor="accent6"/>
      <w:sz w:val="20"/>
      <w:szCs w:val="20"/>
      <w14:textFill>
        <w14:solidFill>
          <w14:schemeClr w14:val="accent6"/>
        </w14:solidFill>
      </w14:textFill>
    </w:rPr>
  </w:style>
  <w:style w:type="character" w:customStyle="1" w:styleId="58">
    <w:name w:val="标题 字符"/>
    <w:basedOn w:val="26"/>
    <w:link w:val="23"/>
    <w:qFormat/>
    <w:uiPriority w:val="10"/>
    <w:rPr>
      <w:rFonts w:asciiTheme="majorHAnsi" w:hAnsiTheme="majorHAnsi" w:eastAsiaTheme="majorEastAsia" w:cstheme="majorBidi"/>
      <w:color w:val="262626" w:themeColor="text1" w:themeTint="D9"/>
      <w:spacing w:val="-15"/>
      <w:sz w:val="96"/>
      <w:szCs w:val="96"/>
      <w14:textFill>
        <w14:solidFill>
          <w14:schemeClr w14:val="tx1">
            <w14:lumMod w14:val="85000"/>
            <w14:lumOff w14:val="15000"/>
          </w14:schemeClr>
        </w14:solidFill>
      </w14:textFill>
    </w:rPr>
  </w:style>
  <w:style w:type="character" w:customStyle="1" w:styleId="59">
    <w:name w:val="副标题 字符"/>
    <w:basedOn w:val="26"/>
    <w:link w:val="19"/>
    <w:qFormat/>
    <w:uiPriority w:val="11"/>
    <w:rPr>
      <w:rFonts w:asciiTheme="majorHAnsi" w:hAnsiTheme="majorHAnsi" w:eastAsiaTheme="majorEastAsia" w:cstheme="majorBidi"/>
      <w:sz w:val="30"/>
      <w:szCs w:val="30"/>
    </w:rPr>
  </w:style>
  <w:style w:type="paragraph" w:styleId="60">
    <w:name w:val="No Spacing"/>
    <w:qFormat/>
    <w:uiPriority w:val="1"/>
    <w:rPr>
      <w:rFonts w:asciiTheme="minorHAnsi" w:hAnsiTheme="minorHAnsi" w:eastAsiaTheme="minorEastAsia" w:cstheme="minorBidi"/>
      <w:sz w:val="21"/>
      <w:szCs w:val="21"/>
      <w:lang w:val="en-US" w:eastAsia="zh-CN" w:bidi="ar-SA"/>
    </w:rPr>
  </w:style>
  <w:style w:type="paragraph" w:styleId="61">
    <w:name w:val="Quote"/>
    <w:basedOn w:val="1"/>
    <w:next w:val="1"/>
    <w:link w:val="62"/>
    <w:qFormat/>
    <w:uiPriority w:val="29"/>
    <w:pPr>
      <w:spacing w:before="160"/>
      <w:ind w:left="720" w:right="720"/>
      <w:jc w:val="center"/>
    </w:pPr>
    <w:rPr>
      <w:i/>
      <w:iCs/>
      <w:color w:val="262626" w:themeColor="text1" w:themeTint="D9"/>
      <w14:textFill>
        <w14:solidFill>
          <w14:schemeClr w14:val="tx1">
            <w14:lumMod w14:val="85000"/>
            <w14:lumOff w14:val="15000"/>
          </w14:schemeClr>
        </w14:solidFill>
      </w14:textFill>
    </w:rPr>
  </w:style>
  <w:style w:type="character" w:customStyle="1" w:styleId="62">
    <w:name w:val="引用 字符"/>
    <w:basedOn w:val="26"/>
    <w:link w:val="61"/>
    <w:qFormat/>
    <w:uiPriority w:val="29"/>
    <w:rPr>
      <w:i/>
      <w:iCs/>
      <w:color w:val="262626" w:themeColor="text1" w:themeTint="D9"/>
      <w14:textFill>
        <w14:solidFill>
          <w14:schemeClr w14:val="tx1">
            <w14:lumMod w14:val="85000"/>
            <w14:lumOff w14:val="15000"/>
          </w14:schemeClr>
        </w14:solidFill>
      </w14:textFill>
    </w:rPr>
  </w:style>
  <w:style w:type="paragraph" w:styleId="63">
    <w:name w:val="Intense Quote"/>
    <w:basedOn w:val="1"/>
    <w:next w:val="1"/>
    <w:link w:val="64"/>
    <w:qFormat/>
    <w:uiPriority w:val="30"/>
    <w:pPr>
      <w:spacing w:before="160" w:after="160" w:line="264" w:lineRule="auto"/>
      <w:ind w:left="720" w:right="720"/>
      <w:jc w:val="center"/>
    </w:pPr>
    <w:rPr>
      <w:rFonts w:asciiTheme="majorHAnsi" w:hAnsiTheme="majorHAnsi" w:eastAsiaTheme="majorEastAsia" w:cstheme="majorBidi"/>
      <w:i/>
      <w:iCs/>
      <w:color w:val="A5C249" w:themeColor="accent6"/>
      <w:sz w:val="32"/>
      <w:szCs w:val="32"/>
      <w14:textFill>
        <w14:solidFill>
          <w14:schemeClr w14:val="accent6"/>
        </w14:solidFill>
      </w14:textFill>
    </w:rPr>
  </w:style>
  <w:style w:type="character" w:customStyle="1" w:styleId="64">
    <w:name w:val="明显引用 字符"/>
    <w:basedOn w:val="26"/>
    <w:link w:val="63"/>
    <w:qFormat/>
    <w:uiPriority w:val="30"/>
    <w:rPr>
      <w:rFonts w:asciiTheme="majorHAnsi" w:hAnsiTheme="majorHAnsi" w:eastAsiaTheme="majorEastAsia" w:cstheme="majorBidi"/>
      <w:i/>
      <w:iCs/>
      <w:color w:val="A5C249" w:themeColor="accent6"/>
      <w:sz w:val="32"/>
      <w:szCs w:val="32"/>
      <w14:textFill>
        <w14:solidFill>
          <w14:schemeClr w14:val="accent6"/>
        </w14:solidFill>
      </w14:textFill>
    </w:rPr>
  </w:style>
  <w:style w:type="character" w:customStyle="1" w:styleId="65">
    <w:name w:val="不明显强调1"/>
    <w:basedOn w:val="26"/>
    <w:qFormat/>
    <w:uiPriority w:val="19"/>
    <w:rPr>
      <w:i/>
      <w:iCs/>
    </w:rPr>
  </w:style>
  <w:style w:type="character" w:customStyle="1" w:styleId="66">
    <w:name w:val="明显强调1"/>
    <w:basedOn w:val="26"/>
    <w:qFormat/>
    <w:uiPriority w:val="21"/>
    <w:rPr>
      <w:b/>
      <w:bCs/>
      <w:i/>
      <w:iCs/>
    </w:rPr>
  </w:style>
  <w:style w:type="character" w:customStyle="1" w:styleId="67">
    <w:name w:val="不明显参考1"/>
    <w:basedOn w:val="26"/>
    <w:qFormat/>
    <w:uiPriority w:val="31"/>
    <w:rPr>
      <w:smallCaps/>
      <w:color w:val="595959" w:themeColor="text1" w:themeTint="A6"/>
      <w14:textFill>
        <w14:solidFill>
          <w14:schemeClr w14:val="tx1">
            <w14:lumMod w14:val="65000"/>
            <w14:lumOff w14:val="35000"/>
          </w14:schemeClr>
        </w14:solidFill>
      </w14:textFill>
    </w:rPr>
  </w:style>
  <w:style w:type="character" w:customStyle="1" w:styleId="68">
    <w:name w:val="明显参考1"/>
    <w:basedOn w:val="26"/>
    <w:qFormat/>
    <w:uiPriority w:val="32"/>
    <w:rPr>
      <w:b/>
      <w:bCs/>
      <w:smallCaps/>
      <w:color w:val="A5C249" w:themeColor="accent6"/>
      <w14:textFill>
        <w14:solidFill>
          <w14:schemeClr w14:val="accent6"/>
        </w14:solidFill>
      </w14:textFill>
    </w:rPr>
  </w:style>
  <w:style w:type="character" w:customStyle="1" w:styleId="69">
    <w:name w:val="书籍标题1"/>
    <w:basedOn w:val="26"/>
    <w:qFormat/>
    <w:uiPriority w:val="33"/>
    <w:rPr>
      <w:b/>
      <w:bCs/>
      <w:smallCaps/>
      <w:spacing w:val="7"/>
      <w:sz w:val="21"/>
      <w:szCs w:val="21"/>
    </w:rPr>
  </w:style>
  <w:style w:type="paragraph" w:customStyle="1" w:styleId="70">
    <w:name w:val="TOC 标题2"/>
    <w:basedOn w:val="2"/>
    <w:next w:val="1"/>
    <w:semiHidden/>
    <w:unhideWhenUsed/>
    <w:qFormat/>
    <w:uiPriority w:val="39"/>
    <w:pPr>
      <w:outlineLvl w:val="9"/>
    </w:pPr>
  </w:style>
  <w:style w:type="paragraph" w:customStyle="1" w:styleId="71">
    <w:name w:val="列出段落"/>
    <w:basedOn w:val="1"/>
    <w:qFormat/>
    <w:uiPriority w:val="0"/>
    <w:pPr>
      <w:widowControl w:val="0"/>
      <w:spacing w:after="0" w:line="240" w:lineRule="auto"/>
      <w:ind w:firstLine="420" w:firstLineChars="200"/>
      <w:jc w:val="both"/>
    </w:pPr>
    <w:rPr>
      <w:rFonts w:ascii="Calibri" w:hAnsi="Calibri" w:eastAsia="宋体" w:cs="Times New Roman"/>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B70312-81B4-4317-B17A-E68640AAEC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12250</Words>
  <Characters>13839</Characters>
  <Lines>135</Lines>
  <Paragraphs>38</Paragraphs>
  <TotalTime>220</TotalTime>
  <ScaleCrop>false</ScaleCrop>
  <LinksUpToDate>false</LinksUpToDate>
  <CharactersWithSpaces>14281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2018-04-15T04:51:00Z</dcterms:created>
  <dc:creator>USER</dc:creator>
  <cp:lastModifiedBy>Administrator</cp:lastModifiedBy>
  <cp:lastPrinted>2019-06-25T16:33:00Z</cp:lastPrinted>
  <dcterms:modified xsi:type="dcterms:W3CDTF">2022-06-20T07:22:11Z</dcterms:modified>
  <cp:revision>2237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52352D869C744F43824A3B47E3617F22</vt:lpwstr>
  </property>
</Properties>
</file>